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1161D2" w:rsidRDefault="007D461F" w:rsidP="00AE3359">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933611" w:rsidRPr="001161D2" w:rsidRDefault="00933611" w:rsidP="006C6F59">
      <w:pPr>
        <w:jc w:val="center"/>
        <w:rPr>
          <w:b/>
          <w:sz w:val="22"/>
          <w:szCs w:val="22"/>
          <w:u w:val="single"/>
        </w:rPr>
      </w:pPr>
      <w:r>
        <w:rPr>
          <w:b/>
          <w:sz w:val="22"/>
          <w:u w:val="single"/>
        </w:rPr>
        <w:t>Помощи за култура и опазване на културното наследство</w:t>
      </w:r>
    </w:p>
    <w:p w:rsidR="007D461F" w:rsidRPr="001161D2" w:rsidRDefault="007D461F" w:rsidP="006C6F59">
      <w:pPr>
        <w:rPr>
          <w:sz w:val="22"/>
          <w:szCs w:val="22"/>
        </w:rPr>
      </w:pPr>
      <w:r>
        <w:rPr>
          <w:sz w:val="22"/>
        </w:rPr>
        <w:t>Най-напред следва да бъдат проверени общите условия за прилагането на ОРГО (12 условия/членове 1—12), а след това И условия</w:t>
      </w:r>
      <w:r w:rsidR="00FC53FE">
        <w:rPr>
          <w:sz w:val="22"/>
        </w:rPr>
        <w:t xml:space="preserve">та по отношение на помощите за </w:t>
      </w:r>
      <w:r>
        <w:rPr>
          <w:sz w:val="22"/>
        </w:rPr>
        <w:t>култура и опазване на културното наследство.</w:t>
      </w:r>
    </w:p>
    <w:p w:rsidR="007D461F" w:rsidRPr="001161D2" w:rsidRDefault="007D461F" w:rsidP="001161D2">
      <w:pPr>
        <w:jc w:val="center"/>
        <w:rPr>
          <w:b/>
          <w:sz w:val="22"/>
          <w:szCs w:val="22"/>
          <w:u w:val="single"/>
        </w:rPr>
      </w:pPr>
      <w:r>
        <w:rPr>
          <w:b/>
          <w:sz w:val="22"/>
          <w:u w:val="single"/>
        </w:rPr>
        <w:t>А. Общи условия за прилагане</w:t>
      </w:r>
    </w:p>
    <w:p w:rsidR="007D461F" w:rsidRPr="001161D2" w:rsidRDefault="007D461F" w:rsidP="001161D2">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1161D2" w:rsidTr="00895393">
        <w:trPr>
          <w:trHeight w:val="145"/>
        </w:trPr>
        <w:tc>
          <w:tcPr>
            <w:tcW w:w="8233" w:type="dxa"/>
            <w:tcBorders>
              <w:bottom w:val="single" w:sz="4" w:space="0" w:color="auto"/>
            </w:tcBorders>
            <w:shd w:val="clear" w:color="auto" w:fill="333399"/>
          </w:tcPr>
          <w:p w:rsidR="000E10AB" w:rsidRPr="001161D2" w:rsidRDefault="00593387" w:rsidP="001161D2">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1161D2" w:rsidRDefault="000E10AB" w:rsidP="001161D2">
            <w:pPr>
              <w:jc w:val="center"/>
              <w:rPr>
                <w:b/>
                <w:smallCaps/>
                <w:color w:val="FFFFFF"/>
                <w:sz w:val="22"/>
                <w:szCs w:val="22"/>
              </w:rPr>
            </w:pPr>
            <w:r>
              <w:rPr>
                <w:b/>
                <w:smallCaps/>
                <w:color w:val="FFFFFF"/>
                <w:sz w:val="22"/>
              </w:rPr>
              <w:t>Проверка на съответствието (OK?)</w:t>
            </w:r>
          </w:p>
        </w:tc>
      </w:tr>
      <w:tr w:rsidR="000E10AB" w:rsidRPr="001161D2" w:rsidTr="00895393">
        <w:trPr>
          <w:trHeight w:val="145"/>
        </w:trPr>
        <w:tc>
          <w:tcPr>
            <w:tcW w:w="8233" w:type="dxa"/>
            <w:shd w:val="clear" w:color="auto" w:fill="D9D9D9"/>
          </w:tcPr>
          <w:p w:rsidR="000E10AB" w:rsidRPr="001161D2" w:rsidRDefault="000E10AB" w:rsidP="00AE3359">
            <w:pPr>
              <w:rPr>
                <w:b/>
                <w:sz w:val="22"/>
                <w:szCs w:val="22"/>
              </w:rPr>
            </w:pPr>
            <w:r>
              <w:rPr>
                <w:b/>
                <w:sz w:val="22"/>
              </w:rPr>
              <w:t>Член 1 — Изключване на някои дейности (параграф 2)</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0E10AB" w:rsidRPr="001161D2" w:rsidRDefault="000E10AB" w:rsidP="00AE3359">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7E7828" w:rsidRDefault="000E10AB" w:rsidP="006C6F59">
            <w:pPr>
              <w:numPr>
                <w:ilvl w:val="0"/>
                <w:numId w:val="1"/>
              </w:numPr>
              <w:tabs>
                <w:tab w:val="clear" w:pos="720"/>
                <w:tab w:val="num" w:pos="328"/>
              </w:tabs>
              <w:ind w:left="328" w:hanging="283"/>
              <w:jc w:val="both"/>
              <w:rPr>
                <w:spacing w:val="-4"/>
                <w:sz w:val="22"/>
                <w:szCs w:val="22"/>
              </w:rPr>
            </w:pPr>
            <w:r w:rsidRPr="007E7828">
              <w:rPr>
                <w:spacing w:val="-4"/>
                <w:sz w:val="22"/>
              </w:rPr>
              <w:t>Помощи, обвързани с условието за използване на местни за сметка на вносни стоки.</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624CDE" w:rsidRPr="001161D2" w:rsidRDefault="00624CDE" w:rsidP="00AE3359">
            <w:pPr>
              <w:numPr>
                <w:ilvl w:val="0"/>
                <w:numId w:val="2"/>
              </w:numPr>
              <w:tabs>
                <w:tab w:val="clear" w:pos="720"/>
                <w:tab w:val="num" w:pos="328"/>
              </w:tabs>
              <w:ind w:left="328" w:hanging="283"/>
              <w:jc w:val="both"/>
              <w:rPr>
                <w:color w:val="FF0000"/>
                <w:sz w:val="22"/>
                <w:szCs w:val="22"/>
              </w:rPr>
            </w:pPr>
            <w:r>
              <w:rPr>
                <w:sz w:val="22"/>
              </w:rPr>
              <w:t xml:space="preserve">Риболов и </w:t>
            </w:r>
            <w:proofErr w:type="spellStart"/>
            <w:r>
              <w:rPr>
                <w:sz w:val="22"/>
              </w:rPr>
              <w:t>аквакултури</w:t>
            </w:r>
            <w:proofErr w:type="spellEnd"/>
            <w:r>
              <w:rPr>
                <w:sz w:val="22"/>
              </w:rPr>
              <w:t xml:space="preserve">* (съгласно Регламент (ЕС) № 1379/2013); </w:t>
            </w:r>
          </w:p>
          <w:p w:rsidR="00624CDE" w:rsidRPr="001161D2" w:rsidRDefault="00624CDE" w:rsidP="006C6F59">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p>
          <w:p w:rsidR="00624CDE" w:rsidRPr="001161D2" w:rsidRDefault="00624CDE" w:rsidP="006C6F59">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предприятия</w:t>
            </w:r>
            <w:r>
              <w:rPr>
                <w:sz w:val="22"/>
              </w:rPr>
              <w:t xml:space="preserve">; </w:t>
            </w:r>
            <w:r>
              <w:rPr>
                <w:color w:val="FF0000"/>
                <w:sz w:val="22"/>
              </w:rPr>
              <w:t>или когато помощта е обвързана със задължението да бъде прехвърлена частично или изцяло на първичните производители;</w:t>
            </w:r>
          </w:p>
          <w:p w:rsidR="00624CDE" w:rsidRPr="001161D2" w:rsidRDefault="00624CDE" w:rsidP="006C6F59">
            <w:pPr>
              <w:numPr>
                <w:ilvl w:val="0"/>
                <w:numId w:val="2"/>
              </w:numPr>
              <w:tabs>
                <w:tab w:val="clear" w:pos="720"/>
                <w:tab w:val="num" w:pos="328"/>
              </w:tabs>
              <w:ind w:left="328" w:hanging="283"/>
              <w:jc w:val="both"/>
              <w:rPr>
                <w:sz w:val="22"/>
                <w:szCs w:val="22"/>
              </w:rPr>
            </w:pPr>
            <w:r>
              <w:rPr>
                <w:sz w:val="22"/>
              </w:rPr>
              <w:t>Помощи за улесняване на закриването на неконкурентоспособни въглищни мини (Решение 2010/787/ЕС на Съвета);</w:t>
            </w:r>
          </w:p>
          <w:p w:rsidR="000E10AB" w:rsidRPr="001161D2" w:rsidRDefault="00624CDE" w:rsidP="001161D2">
            <w:pPr>
              <w:tabs>
                <w:tab w:val="num" w:pos="328"/>
              </w:tabs>
              <w:ind w:left="328"/>
              <w:jc w:val="both"/>
              <w:rPr>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jc w:val="both"/>
              <w:rPr>
                <w:b/>
                <w:sz w:val="22"/>
                <w:szCs w:val="22"/>
              </w:rPr>
            </w:pPr>
            <w:r>
              <w:rPr>
                <w:b/>
                <w:sz w:val="22"/>
              </w:rPr>
              <w:t xml:space="preserve">Член 1 — Изключване на дружествата, засегнати от правилото </w:t>
            </w:r>
            <w:proofErr w:type="spellStart"/>
            <w:r>
              <w:rPr>
                <w:b/>
                <w:sz w:val="22"/>
              </w:rPr>
              <w:t>Deggendorf</w:t>
            </w:r>
            <w:proofErr w:type="spellEnd"/>
            <w:r>
              <w:rPr>
                <w:b/>
                <w:sz w:val="22"/>
              </w:rPr>
              <w:t xml:space="preserve"> (параграф 4)</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0E10AB" w:rsidRPr="001161D2" w:rsidRDefault="000E10AB" w:rsidP="00F537DD">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w:t>
            </w:r>
            <w:r w:rsidR="0034379B">
              <w:rPr>
                <w:sz w:val="22"/>
              </w:rPr>
              <w:t xml:space="preserve">, и </w:t>
            </w:r>
            <w:r w:rsidR="0034379B" w:rsidRPr="00285D6F">
              <w:rPr>
                <w:b/>
                <w:sz w:val="22"/>
              </w:rPr>
              <w:t>не</w:t>
            </w:r>
            <w:r w:rsidR="0034379B">
              <w:rPr>
                <w:sz w:val="22"/>
              </w:rPr>
              <w:t xml:space="preserve"> се прилага за </w:t>
            </w:r>
            <w:proofErr w:type="spellStart"/>
            <w:r w:rsidR="0034379B" w:rsidRPr="00E83274">
              <w:rPr>
                <w:i/>
                <w:sz w:val="22"/>
              </w:rPr>
              <w:t>ad</w:t>
            </w:r>
            <w:proofErr w:type="spellEnd"/>
            <w:r w:rsidR="0034379B" w:rsidRPr="00E83274">
              <w:rPr>
                <w:i/>
                <w:sz w:val="22"/>
              </w:rPr>
              <w:t xml:space="preserve"> </w:t>
            </w:r>
            <w:proofErr w:type="spellStart"/>
            <w:r w:rsidR="0034379B" w:rsidRPr="00E83274">
              <w:rPr>
                <w:i/>
                <w:sz w:val="22"/>
              </w:rPr>
              <w:t>hoc</w:t>
            </w:r>
            <w:proofErr w:type="spellEnd"/>
            <w:r w:rsidR="0034379B">
              <w:rPr>
                <w:sz w:val="22"/>
              </w:rPr>
              <w:t xml:space="preserve"> помощ</w:t>
            </w:r>
            <w:r w:rsidR="00F537DD">
              <w:rPr>
                <w:sz w:val="22"/>
              </w:rPr>
              <w:t>и</w:t>
            </w:r>
            <w:r w:rsidR="0034379B">
              <w:rPr>
                <w:sz w:val="22"/>
              </w:rPr>
              <w:t xml:space="preserve"> в полза на </w:t>
            </w:r>
            <w:r w:rsidR="00F537DD">
              <w:rPr>
                <w:sz w:val="22"/>
              </w:rPr>
              <w:t>такива</w:t>
            </w:r>
            <w:r w:rsidR="0034379B">
              <w:rPr>
                <w:sz w:val="22"/>
              </w:rPr>
              <w:t xml:space="preserve"> предприяти</w:t>
            </w:r>
            <w:r w:rsidR="00F537DD">
              <w:rPr>
                <w:sz w:val="22"/>
              </w:rPr>
              <w:t>я</w:t>
            </w:r>
            <w:r>
              <w:rPr>
                <w:sz w:val="22"/>
              </w:rPr>
              <w:t xml:space="preserve">. </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rPr>
                <w:b/>
                <w:sz w:val="22"/>
                <w:szCs w:val="22"/>
              </w:rPr>
            </w:pPr>
            <w:r>
              <w:rPr>
                <w:b/>
                <w:sz w:val="22"/>
              </w:rPr>
              <w:lastRenderedPageBreak/>
              <w:t>Член 1 — Изключване на дружествата в затруднено положение (параграф 4)</w:t>
            </w:r>
          </w:p>
        </w:tc>
        <w:tc>
          <w:tcPr>
            <w:tcW w:w="6379" w:type="dxa"/>
            <w:vMerge w:val="restart"/>
            <w:shd w:val="clear" w:color="auto" w:fill="auto"/>
          </w:tcPr>
          <w:p w:rsidR="000E10AB" w:rsidRPr="001161D2" w:rsidRDefault="000E10AB" w:rsidP="006C6F59">
            <w:pPr>
              <w:rPr>
                <w:sz w:val="22"/>
                <w:szCs w:val="22"/>
              </w:rPr>
            </w:pPr>
          </w:p>
        </w:tc>
      </w:tr>
      <w:tr w:rsidR="000E10AB" w:rsidRPr="001161D2" w:rsidTr="001161D2">
        <w:trPr>
          <w:trHeight w:val="486"/>
        </w:trPr>
        <w:tc>
          <w:tcPr>
            <w:tcW w:w="8233" w:type="dxa"/>
            <w:tcBorders>
              <w:bottom w:val="single" w:sz="4" w:space="0" w:color="auto"/>
            </w:tcBorders>
            <w:shd w:val="clear" w:color="auto" w:fill="auto"/>
          </w:tcPr>
          <w:p w:rsidR="000E10AB" w:rsidRPr="001161D2" w:rsidRDefault="000E10AB" w:rsidP="006618E9">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1C08C9">
            <w:pPr>
              <w:jc w:val="both"/>
              <w:rPr>
                <w:b/>
                <w:sz w:val="22"/>
                <w:szCs w:val="22"/>
              </w:rPr>
            </w:pPr>
            <w:r>
              <w:rPr>
                <w:b/>
                <w:sz w:val="22"/>
              </w:rPr>
              <w:t>Член 1 — Изключване на мерките за помощ, които нарушават законодателството на Съюза (параграф 5)</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0E10AB" w:rsidRPr="001161D2" w:rsidRDefault="008C6BDA" w:rsidP="001161D2">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1161D2" w:rsidRDefault="000E10AB" w:rsidP="001161D2">
            <w:pPr>
              <w:autoSpaceDE w:val="0"/>
              <w:autoSpaceDN w:val="0"/>
              <w:adjustRightInd w:val="0"/>
              <w:jc w:val="both"/>
              <w:rPr>
                <w:sz w:val="22"/>
                <w:szCs w:val="22"/>
              </w:rPr>
            </w:pPr>
            <w:r>
              <w:t>а</w:t>
            </w:r>
            <w:r w:rsidRPr="005D17A3">
              <w:rPr>
                <w:sz w:val="22"/>
                <w:szCs w:val="22"/>
              </w:rPr>
              <w:t xml:space="preserve">) задължение седалището или основното място на установяване на </w:t>
            </w:r>
            <w:proofErr w:type="spellStart"/>
            <w:r w:rsidRPr="005D17A3">
              <w:rPr>
                <w:sz w:val="22"/>
                <w:szCs w:val="22"/>
              </w:rPr>
              <w:t>бенефициера</w:t>
            </w:r>
            <w:proofErr w:type="spellEnd"/>
            <w:r w:rsidRPr="005D17A3">
              <w:rPr>
                <w:sz w:val="22"/>
                <w:szCs w:val="22"/>
              </w:rPr>
              <w:t xml:space="preserve"> да се намира в съответната държава членка. Разрешава се условието към момента на изплащането на помощта </w:t>
            </w:r>
            <w:proofErr w:type="spellStart"/>
            <w:r w:rsidRPr="005D17A3">
              <w:rPr>
                <w:sz w:val="22"/>
                <w:szCs w:val="22"/>
              </w:rPr>
              <w:t>бенефициерът</w:t>
            </w:r>
            <w:proofErr w:type="spellEnd"/>
            <w:r w:rsidRPr="005D17A3">
              <w:rPr>
                <w:sz w:val="22"/>
                <w:szCs w:val="22"/>
              </w:rPr>
              <w:t xml:space="preserve"> да е създал седалище или клон в държавата членка, предоставяща помощта</w:t>
            </w:r>
            <w:r>
              <w:rPr>
                <w:sz w:val="22"/>
              </w:rPr>
              <w:t>;</w:t>
            </w:r>
          </w:p>
          <w:p w:rsidR="000E10AB" w:rsidRPr="001161D2" w:rsidRDefault="000E10AB" w:rsidP="001161D2">
            <w:pPr>
              <w:autoSpaceDE w:val="0"/>
              <w:autoSpaceDN w:val="0"/>
              <w:adjustRightInd w:val="0"/>
              <w:jc w:val="both"/>
              <w:rPr>
                <w:sz w:val="22"/>
                <w:szCs w:val="22"/>
              </w:rPr>
            </w:pPr>
            <w:r>
              <w:rPr>
                <w:sz w:val="22"/>
              </w:rPr>
              <w:t xml:space="preserve">б) задължение </w:t>
            </w:r>
            <w:proofErr w:type="spellStart"/>
            <w:r>
              <w:rPr>
                <w:sz w:val="22"/>
              </w:rPr>
              <w:t>бенефициерът</w:t>
            </w:r>
            <w:proofErr w:type="spellEnd"/>
            <w:r>
              <w:rPr>
                <w:sz w:val="22"/>
              </w:rPr>
              <w:t xml:space="preserve"> да използва стоки и услуги, произведени на територията на държавата членка;</w:t>
            </w:r>
          </w:p>
          <w:p w:rsidR="000E10AB" w:rsidRPr="001161D2" w:rsidRDefault="000E10AB" w:rsidP="001161D2">
            <w:pPr>
              <w:autoSpaceDE w:val="0"/>
              <w:autoSpaceDN w:val="0"/>
              <w:adjustRightInd w:val="0"/>
              <w:jc w:val="both"/>
              <w:rPr>
                <w:sz w:val="22"/>
                <w:szCs w:val="22"/>
              </w:rPr>
            </w:pPr>
            <w:r>
              <w:rPr>
                <w:sz w:val="22"/>
              </w:rPr>
              <w:t xml:space="preserve">в) ограничаване на възможността </w:t>
            </w:r>
            <w:proofErr w:type="spellStart"/>
            <w:r>
              <w:rPr>
                <w:sz w:val="22"/>
              </w:rPr>
              <w:t>бенефициерът</w:t>
            </w:r>
            <w:proofErr w:type="spellEnd"/>
            <w:r>
              <w:rPr>
                <w:sz w:val="22"/>
              </w:rPr>
              <w:t xml:space="preserve">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0E10AB" w:rsidRPr="001161D2" w:rsidRDefault="000E10AB" w:rsidP="001161D2">
            <w:pPr>
              <w:rPr>
                <w:sz w:val="22"/>
                <w:szCs w:val="22"/>
              </w:rPr>
            </w:pPr>
          </w:p>
        </w:tc>
      </w:tr>
      <w:tr w:rsidR="000E10AB" w:rsidRPr="001161D2" w:rsidTr="006D79B1">
        <w:trPr>
          <w:trHeight w:val="271"/>
        </w:trPr>
        <w:tc>
          <w:tcPr>
            <w:tcW w:w="8233" w:type="dxa"/>
            <w:shd w:val="clear" w:color="auto" w:fill="D9D9D9"/>
          </w:tcPr>
          <w:p w:rsidR="000E10AB" w:rsidRPr="001161D2" w:rsidRDefault="000E10AB" w:rsidP="00AE3359">
            <w:pPr>
              <w:jc w:val="both"/>
              <w:rPr>
                <w:b/>
                <w:sz w:val="22"/>
                <w:szCs w:val="22"/>
              </w:rPr>
            </w:pPr>
            <w:r>
              <w:rPr>
                <w:b/>
                <w:sz w:val="22"/>
              </w:rPr>
              <w:t>Член 4 — Индивидуални прагове за уведомяване</w:t>
            </w:r>
          </w:p>
        </w:tc>
        <w:tc>
          <w:tcPr>
            <w:tcW w:w="6379" w:type="dxa"/>
            <w:shd w:val="clear" w:color="auto" w:fill="D9D9D9"/>
          </w:tcPr>
          <w:p w:rsidR="000E10AB" w:rsidRPr="001161D2" w:rsidRDefault="000E10AB" w:rsidP="00AE3359">
            <w:pPr>
              <w:rPr>
                <w:sz w:val="22"/>
                <w:szCs w:val="22"/>
              </w:rPr>
            </w:pPr>
          </w:p>
        </w:tc>
      </w:tr>
      <w:tr w:rsidR="000E10AB" w:rsidRPr="001161D2" w:rsidTr="00895393">
        <w:trPr>
          <w:trHeight w:val="271"/>
        </w:trPr>
        <w:tc>
          <w:tcPr>
            <w:tcW w:w="8233" w:type="dxa"/>
            <w:tcBorders>
              <w:bottom w:val="single" w:sz="4" w:space="0" w:color="auto"/>
            </w:tcBorders>
            <w:shd w:val="clear" w:color="auto" w:fill="auto"/>
          </w:tcPr>
          <w:p w:rsidR="000E10AB" w:rsidRPr="001161D2" w:rsidRDefault="000E10AB" w:rsidP="00AE3359">
            <w:pPr>
              <w:rPr>
                <w:sz w:val="22"/>
                <w:szCs w:val="22"/>
              </w:rPr>
            </w:pPr>
            <w:r>
              <w:rPr>
                <w:b/>
                <w:sz w:val="22"/>
              </w:rPr>
              <w:t>Не</w:t>
            </w:r>
            <w:r>
              <w:rPr>
                <w:sz w:val="22"/>
              </w:rPr>
              <w:t xml:space="preserve"> се прилага за помощи, надхвърлящи:</w:t>
            </w:r>
          </w:p>
          <w:p w:rsidR="00E215B6" w:rsidRPr="001161D2" w:rsidRDefault="008C6BDA" w:rsidP="006C6F59">
            <w:pPr>
              <w:numPr>
                <w:ilvl w:val="0"/>
                <w:numId w:val="7"/>
              </w:numPr>
              <w:autoSpaceDE w:val="0"/>
              <w:autoSpaceDN w:val="0"/>
              <w:adjustRightInd w:val="0"/>
              <w:jc w:val="both"/>
              <w:rPr>
                <w:sz w:val="22"/>
                <w:szCs w:val="22"/>
              </w:rPr>
            </w:pPr>
            <w:r>
              <w:rPr>
                <w:sz w:val="22"/>
              </w:rPr>
              <w:t>за инвестиционни помощи за култура и опазване на културното наследство: 100 милиона евро на проект; за оперативни помощи за култура и опазване на културното наследство: 50 милиона евро на предприятие годишно;</w:t>
            </w:r>
          </w:p>
          <w:p w:rsidR="000E10AB" w:rsidRPr="001161D2" w:rsidRDefault="008C6BDA" w:rsidP="006C6F59">
            <w:pPr>
              <w:numPr>
                <w:ilvl w:val="0"/>
                <w:numId w:val="7"/>
              </w:numPr>
              <w:autoSpaceDE w:val="0"/>
              <w:autoSpaceDN w:val="0"/>
              <w:adjustRightInd w:val="0"/>
              <w:jc w:val="both"/>
              <w:rPr>
                <w:sz w:val="22"/>
                <w:szCs w:val="22"/>
              </w:rPr>
            </w:pPr>
            <w:r>
              <w:rPr>
                <w:sz w:val="22"/>
              </w:rPr>
              <w:t>за схеми за помощ за аудио-визуални произведения: 50 милиона евро на схема годишно.</w:t>
            </w:r>
          </w:p>
          <w:p w:rsidR="00AA1EC8" w:rsidRPr="001161D2" w:rsidRDefault="00AA1EC8" w:rsidP="001161D2">
            <w:pPr>
              <w:autoSpaceDE w:val="0"/>
              <w:autoSpaceDN w:val="0"/>
              <w:adjustRightInd w:val="0"/>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w:t>
            </w:r>
          </w:p>
        </w:tc>
        <w:tc>
          <w:tcPr>
            <w:tcW w:w="6379" w:type="dxa"/>
            <w:shd w:val="clear" w:color="auto" w:fill="auto"/>
          </w:tcPr>
          <w:p w:rsidR="000E10AB" w:rsidRPr="001161D2" w:rsidRDefault="000E10AB" w:rsidP="001161D2">
            <w:pPr>
              <w:rPr>
                <w:sz w:val="22"/>
                <w:szCs w:val="22"/>
              </w:rPr>
            </w:pPr>
          </w:p>
        </w:tc>
      </w:tr>
      <w:tr w:rsidR="000E10AB" w:rsidRPr="001161D2" w:rsidTr="006D79B1">
        <w:trPr>
          <w:trHeight w:val="344"/>
        </w:trPr>
        <w:tc>
          <w:tcPr>
            <w:tcW w:w="8233" w:type="dxa"/>
            <w:shd w:val="clear" w:color="auto" w:fill="D9D9D9"/>
          </w:tcPr>
          <w:p w:rsidR="000E10AB" w:rsidRPr="001161D2" w:rsidRDefault="000E10AB" w:rsidP="00AE3359">
            <w:pPr>
              <w:jc w:val="both"/>
              <w:rPr>
                <w:b/>
                <w:sz w:val="22"/>
                <w:szCs w:val="22"/>
              </w:rPr>
            </w:pPr>
            <w:r>
              <w:rPr>
                <w:b/>
                <w:sz w:val="22"/>
              </w:rPr>
              <w:t xml:space="preserve">Член 5 — Прозрачност на помощта </w:t>
            </w:r>
          </w:p>
        </w:tc>
        <w:tc>
          <w:tcPr>
            <w:tcW w:w="6379" w:type="dxa"/>
            <w:shd w:val="clear" w:color="auto" w:fill="D9D9D9"/>
          </w:tcPr>
          <w:p w:rsidR="000E10AB" w:rsidRPr="001161D2" w:rsidRDefault="000E10AB" w:rsidP="00AE3359">
            <w:pPr>
              <w:rPr>
                <w:sz w:val="22"/>
                <w:szCs w:val="22"/>
              </w:rPr>
            </w:pPr>
          </w:p>
        </w:tc>
      </w:tr>
      <w:tr w:rsidR="000E10AB" w:rsidRPr="001161D2" w:rsidTr="00895393">
        <w:trPr>
          <w:trHeight w:val="344"/>
        </w:trPr>
        <w:tc>
          <w:tcPr>
            <w:tcW w:w="8233" w:type="dxa"/>
            <w:shd w:val="clear" w:color="auto" w:fill="auto"/>
          </w:tcPr>
          <w:p w:rsidR="000E10AB" w:rsidRPr="001161D2" w:rsidRDefault="000E10AB" w:rsidP="00AE3359">
            <w:pPr>
              <w:jc w:val="both"/>
              <w:rPr>
                <w:sz w:val="22"/>
                <w:szCs w:val="22"/>
              </w:rPr>
            </w:pPr>
            <w:r>
              <w:rPr>
                <w:sz w:val="22"/>
              </w:rPr>
              <w:t>Прилага се само за прозрачни помощи, като за прозрачни се считат:</w:t>
            </w:r>
          </w:p>
          <w:p w:rsidR="000E10AB" w:rsidRPr="001161D2" w:rsidRDefault="000E10AB" w:rsidP="006C6F59">
            <w:pPr>
              <w:numPr>
                <w:ilvl w:val="0"/>
                <w:numId w:val="5"/>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4B2029" w:rsidRDefault="000E10AB" w:rsidP="006C6F59">
            <w:pPr>
              <w:numPr>
                <w:ilvl w:val="0"/>
                <w:numId w:val="3"/>
              </w:numPr>
              <w:tabs>
                <w:tab w:val="clear" w:pos="720"/>
                <w:tab w:val="num" w:pos="328"/>
              </w:tabs>
              <w:ind w:left="328" w:hanging="283"/>
              <w:jc w:val="both"/>
              <w:rPr>
                <w:spacing w:val="-4"/>
                <w:sz w:val="22"/>
                <w:szCs w:val="22"/>
              </w:rPr>
            </w:pPr>
            <w:r w:rsidRPr="004B2029">
              <w:rPr>
                <w:spacing w:val="-4"/>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1161D2" w:rsidRDefault="000E10AB" w:rsidP="001161D2">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1161D2" w:rsidRDefault="000E10AB" w:rsidP="001161D2">
            <w:pPr>
              <w:tabs>
                <w:tab w:val="num" w:pos="470"/>
              </w:tabs>
              <w:ind w:left="328"/>
              <w:jc w:val="both"/>
              <w:rPr>
                <w:sz w:val="22"/>
                <w:szCs w:val="22"/>
              </w:rPr>
            </w:pPr>
            <w:r>
              <w:rPr>
                <w:sz w:val="22"/>
              </w:rPr>
              <w:t xml:space="preserve">(когато брутният еквивалент на безвъзмездна помощ е изчислен въз основа на </w:t>
            </w:r>
            <w:r>
              <w:rPr>
                <w:sz w:val="22"/>
              </w:rPr>
              <w:lastRenderedPageBreak/>
              <w:t xml:space="preserve">минималните премии, посочени в известие на Комисията, </w:t>
            </w:r>
          </w:p>
          <w:p w:rsidR="000E10AB" w:rsidRPr="001161D2" w:rsidRDefault="000E10AB" w:rsidP="001161D2">
            <w:pPr>
              <w:tabs>
                <w:tab w:val="num" w:pos="328"/>
              </w:tabs>
              <w:ind w:left="328" w:hanging="283"/>
              <w:jc w:val="both"/>
              <w:rPr>
                <w:sz w:val="22"/>
                <w:szCs w:val="22"/>
              </w:rPr>
            </w:pPr>
            <w:r>
              <w:rPr>
                <w:sz w:val="22"/>
              </w:rPr>
              <w:t xml:space="preserve">или </w:t>
            </w:r>
          </w:p>
          <w:p w:rsidR="000E10AB" w:rsidRPr="001161D2" w:rsidRDefault="000E10AB" w:rsidP="001161D2">
            <w:pPr>
              <w:tabs>
                <w:tab w:val="num" w:pos="328"/>
              </w:tabs>
              <w:ind w:left="328"/>
              <w:jc w:val="both"/>
              <w:rPr>
                <w:sz w:val="22"/>
                <w:szCs w:val="22"/>
              </w:rPr>
            </w:pPr>
            <w:r>
              <w:rPr>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0E10AB" w:rsidRPr="001161D2" w:rsidRDefault="000E10AB" w:rsidP="001161D2">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1161D2" w:rsidRDefault="000E10AB" w:rsidP="001161D2">
            <w:pPr>
              <w:numPr>
                <w:ilvl w:val="0"/>
                <w:numId w:val="3"/>
              </w:numPr>
              <w:tabs>
                <w:tab w:val="clear" w:pos="720"/>
                <w:tab w:val="num" w:pos="328"/>
              </w:tabs>
              <w:autoSpaceDE w:val="0"/>
              <w:autoSpaceDN w:val="0"/>
              <w:adjustRightInd w:val="0"/>
              <w:ind w:left="328" w:hanging="283"/>
              <w:jc w:val="both"/>
              <w:rPr>
                <w:b/>
                <w:sz w:val="22"/>
                <w:szCs w:val="22"/>
              </w:rPr>
            </w:pPr>
            <w:proofErr w:type="spellStart"/>
            <w:r>
              <w:rPr>
                <w:sz w:val="22"/>
              </w:rPr>
              <w:t>възстановяемите</w:t>
            </w:r>
            <w:proofErr w:type="spellEnd"/>
            <w:r>
              <w:rPr>
                <w:sz w:val="22"/>
              </w:rPr>
              <w:t xml:space="preserve"> аванси (ако общият номинален размер на </w:t>
            </w:r>
            <w:proofErr w:type="spellStart"/>
            <w:r>
              <w:rPr>
                <w:sz w:val="22"/>
              </w:rPr>
              <w:t>възстановяемия</w:t>
            </w:r>
            <w:proofErr w:type="spellEnd"/>
            <w:r>
              <w:rPr>
                <w:sz w:val="22"/>
              </w:rPr>
              <w:t xml:space="preserve">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6379" w:type="dxa"/>
            <w:shd w:val="clear" w:color="auto" w:fill="auto"/>
          </w:tcPr>
          <w:p w:rsidR="000E10AB" w:rsidRPr="001161D2" w:rsidRDefault="000E10AB" w:rsidP="001161D2">
            <w:pPr>
              <w:rPr>
                <w:sz w:val="22"/>
                <w:szCs w:val="22"/>
              </w:rPr>
            </w:pPr>
          </w:p>
        </w:tc>
      </w:tr>
      <w:tr w:rsidR="000E10AB" w:rsidRPr="001161D2" w:rsidTr="006D79B1">
        <w:trPr>
          <w:trHeight w:val="344"/>
        </w:trPr>
        <w:tc>
          <w:tcPr>
            <w:tcW w:w="8233" w:type="dxa"/>
            <w:shd w:val="clear" w:color="auto" w:fill="D9D9D9"/>
          </w:tcPr>
          <w:p w:rsidR="000E10AB" w:rsidRPr="001161D2" w:rsidRDefault="000E10AB" w:rsidP="00AE3359">
            <w:pPr>
              <w:jc w:val="both"/>
              <w:rPr>
                <w:b/>
                <w:sz w:val="22"/>
                <w:szCs w:val="22"/>
              </w:rPr>
            </w:pPr>
            <w:r>
              <w:rPr>
                <w:b/>
                <w:sz w:val="22"/>
              </w:rPr>
              <w:lastRenderedPageBreak/>
              <w:t>Член 7 — Допустими разходи</w:t>
            </w:r>
          </w:p>
        </w:tc>
        <w:tc>
          <w:tcPr>
            <w:tcW w:w="6379" w:type="dxa"/>
            <w:shd w:val="clear" w:color="auto" w:fill="D9D9D9"/>
          </w:tcPr>
          <w:p w:rsidR="000E10AB" w:rsidRPr="001161D2" w:rsidRDefault="000E10AB" w:rsidP="00AE3359">
            <w:pPr>
              <w:rPr>
                <w:sz w:val="22"/>
                <w:szCs w:val="22"/>
              </w:rPr>
            </w:pPr>
          </w:p>
        </w:tc>
      </w:tr>
      <w:tr w:rsidR="000E10AB" w:rsidRPr="001161D2" w:rsidTr="001161D2">
        <w:trPr>
          <w:trHeight w:val="127"/>
        </w:trPr>
        <w:tc>
          <w:tcPr>
            <w:tcW w:w="8233" w:type="dxa"/>
            <w:tcBorders>
              <w:bottom w:val="single" w:sz="4" w:space="0" w:color="auto"/>
            </w:tcBorders>
            <w:shd w:val="clear" w:color="auto" w:fill="auto"/>
          </w:tcPr>
          <w:p w:rsidR="00F40159" w:rsidRPr="001161D2" w:rsidRDefault="00AE3359" w:rsidP="001161D2">
            <w:pPr>
              <w:jc w:val="both"/>
              <w:rPr>
                <w:sz w:val="22"/>
                <w:szCs w:val="22"/>
              </w:rPr>
            </w:pPr>
            <w:r>
              <w:rPr>
                <w:sz w:val="22"/>
              </w:rPr>
              <w:t>За изчисляването на интензитета на помощта (когато интензитетът на помощта не е равен на 100 %):</w:t>
            </w:r>
          </w:p>
          <w:p w:rsidR="00F40159" w:rsidRPr="001161D2" w:rsidRDefault="009F2DB2" w:rsidP="00AE3359">
            <w:pPr>
              <w:numPr>
                <w:ilvl w:val="0"/>
                <w:numId w:val="12"/>
              </w:numPr>
              <w:jc w:val="both"/>
              <w:rPr>
                <w:sz w:val="22"/>
                <w:szCs w:val="22"/>
              </w:rPr>
            </w:pPr>
            <w:r>
              <w:rPr>
                <w:sz w:val="22"/>
              </w:rPr>
              <w:t>Данните се събират преди приспадането на данъци и други такси.</w:t>
            </w:r>
          </w:p>
          <w:p w:rsidR="00F40159" w:rsidRPr="001161D2" w:rsidRDefault="00F40159" w:rsidP="00AE3359">
            <w:pPr>
              <w:numPr>
                <w:ilvl w:val="0"/>
                <w:numId w:val="12"/>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F40159" w:rsidRPr="001161D2" w:rsidRDefault="00F40159" w:rsidP="006C6F59">
            <w:pPr>
              <w:numPr>
                <w:ilvl w:val="0"/>
                <w:numId w:val="12"/>
              </w:numPr>
              <w:jc w:val="both"/>
              <w:rPr>
                <w:sz w:val="22"/>
                <w:szCs w:val="22"/>
              </w:rPr>
            </w:pPr>
            <w:r>
              <w:rPr>
                <w:sz w:val="22"/>
              </w:rPr>
              <w:t>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w:t>
            </w:r>
          </w:p>
          <w:p w:rsidR="00F40159" w:rsidRPr="001161D2" w:rsidRDefault="00F40159" w:rsidP="006C6F59">
            <w:pPr>
              <w:numPr>
                <w:ilvl w:val="0"/>
                <w:numId w:val="12"/>
              </w:numPr>
              <w:jc w:val="both"/>
              <w:rPr>
                <w:sz w:val="22"/>
                <w:szCs w:val="22"/>
              </w:rPr>
            </w:pPr>
            <w:r>
              <w:rPr>
                <w:sz w:val="22"/>
              </w:rPr>
              <w:t xml:space="preserve">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 </w:t>
            </w:r>
          </w:p>
          <w:p w:rsidR="00F40159" w:rsidRPr="001161D2" w:rsidRDefault="00F40159" w:rsidP="001161D2">
            <w:pPr>
              <w:numPr>
                <w:ilvl w:val="0"/>
                <w:numId w:val="12"/>
              </w:numPr>
              <w:autoSpaceDE w:val="0"/>
              <w:autoSpaceDN w:val="0"/>
              <w:adjustRightInd w:val="0"/>
              <w:jc w:val="both"/>
              <w:rPr>
                <w:sz w:val="22"/>
                <w:szCs w:val="22"/>
              </w:rPr>
            </w:pPr>
            <w:r>
              <w:rPr>
                <w:sz w:val="22"/>
              </w:rPr>
              <w:t xml:space="preserve">Когато помощите се предоставят под формата на </w:t>
            </w:r>
            <w:proofErr w:type="spellStart"/>
            <w:r>
              <w:rPr>
                <w:sz w:val="22"/>
              </w:rPr>
              <w:t>възстановяеми</w:t>
            </w:r>
            <w:proofErr w:type="spellEnd"/>
            <w:r>
              <w:rPr>
                <w:sz w:val="22"/>
              </w:rPr>
              <w:t xml:space="preserve">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w:t>
            </w:r>
            <w:r>
              <w:rPr>
                <w:sz w:val="22"/>
              </w:rPr>
              <w:lastRenderedPageBreak/>
              <w:t>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F40159" w:rsidRPr="001161D2" w:rsidRDefault="00F40159" w:rsidP="001161D2">
            <w:pPr>
              <w:autoSpaceDE w:val="0"/>
              <w:autoSpaceDN w:val="0"/>
              <w:adjustRightInd w:val="0"/>
              <w:jc w:val="both"/>
              <w:rPr>
                <w:sz w:val="22"/>
                <w:szCs w:val="22"/>
              </w:rPr>
            </w:pPr>
            <w:r>
              <w:rPr>
                <w:sz w:val="22"/>
              </w:rPr>
              <w:t>Допустими разходи и документация</w:t>
            </w:r>
          </w:p>
          <w:p w:rsidR="000E10AB" w:rsidRPr="001161D2" w:rsidRDefault="00F40159" w:rsidP="00AE3359">
            <w:pPr>
              <w:numPr>
                <w:ilvl w:val="0"/>
                <w:numId w:val="12"/>
              </w:numPr>
              <w:autoSpaceDE w:val="0"/>
              <w:autoSpaceDN w:val="0"/>
              <w:adjustRightInd w:val="0"/>
              <w:jc w:val="both"/>
              <w:rPr>
                <w:sz w:val="22"/>
                <w:szCs w:val="22"/>
              </w:rPr>
            </w:pPr>
            <w:r>
              <w:rPr>
                <w:sz w:val="22"/>
              </w:rPr>
              <w:t xml:space="preserve">Допустими разходи, подкрепени с ясни, конкретни и актуални документи. </w:t>
            </w:r>
          </w:p>
        </w:tc>
        <w:tc>
          <w:tcPr>
            <w:tcW w:w="6379" w:type="dxa"/>
            <w:shd w:val="clear" w:color="auto" w:fill="auto"/>
          </w:tcPr>
          <w:p w:rsidR="000E10AB" w:rsidRPr="001161D2" w:rsidRDefault="000E10AB" w:rsidP="00AE3359">
            <w:pPr>
              <w:rPr>
                <w:sz w:val="22"/>
                <w:szCs w:val="22"/>
              </w:rPr>
            </w:pPr>
          </w:p>
        </w:tc>
      </w:tr>
      <w:tr w:rsidR="000E10AB" w:rsidRPr="001161D2" w:rsidTr="000B0A2E">
        <w:trPr>
          <w:trHeight w:val="271"/>
        </w:trPr>
        <w:tc>
          <w:tcPr>
            <w:tcW w:w="8233" w:type="dxa"/>
            <w:shd w:val="clear" w:color="auto" w:fill="D9D9D9"/>
          </w:tcPr>
          <w:p w:rsidR="000E10AB" w:rsidRPr="001161D2" w:rsidRDefault="000E10AB" w:rsidP="00AE3359">
            <w:pPr>
              <w:jc w:val="both"/>
              <w:rPr>
                <w:b/>
                <w:sz w:val="22"/>
                <w:szCs w:val="22"/>
              </w:rPr>
            </w:pPr>
            <w:r>
              <w:rPr>
                <w:b/>
                <w:sz w:val="22"/>
              </w:rPr>
              <w:lastRenderedPageBreak/>
              <w:t>Член 8 — Натрупване</w:t>
            </w:r>
          </w:p>
        </w:tc>
        <w:tc>
          <w:tcPr>
            <w:tcW w:w="6379" w:type="dxa"/>
            <w:shd w:val="clear" w:color="auto" w:fill="D9D9D9"/>
          </w:tcPr>
          <w:p w:rsidR="000E10AB" w:rsidRPr="001161D2" w:rsidRDefault="000E10AB" w:rsidP="006C6F59">
            <w:pPr>
              <w:rPr>
                <w:sz w:val="22"/>
                <w:szCs w:val="22"/>
              </w:rPr>
            </w:pPr>
          </w:p>
        </w:tc>
      </w:tr>
      <w:tr w:rsidR="000E10AB" w:rsidRPr="001161D2" w:rsidTr="00895393">
        <w:trPr>
          <w:trHeight w:val="271"/>
        </w:trPr>
        <w:tc>
          <w:tcPr>
            <w:tcW w:w="8233" w:type="dxa"/>
            <w:tcBorders>
              <w:bottom w:val="single" w:sz="4" w:space="0" w:color="auto"/>
            </w:tcBorders>
            <w:shd w:val="clear" w:color="auto" w:fill="auto"/>
          </w:tcPr>
          <w:p w:rsidR="0071555B" w:rsidRPr="004B2029" w:rsidRDefault="0071555B" w:rsidP="00AE3359">
            <w:pPr>
              <w:numPr>
                <w:ilvl w:val="0"/>
                <w:numId w:val="13"/>
              </w:numPr>
              <w:jc w:val="both"/>
              <w:rPr>
                <w:sz w:val="22"/>
                <w:szCs w:val="22"/>
              </w:rPr>
            </w:pPr>
            <w:r w:rsidRPr="004B2029">
              <w:rPr>
                <w:sz w:val="22"/>
                <w:szCs w:val="22"/>
              </w:rPr>
              <w:t xml:space="preserve">За праговете и максималните интензитети на помощта се взема предвид </w:t>
            </w:r>
            <w:r w:rsidRPr="004B2029">
              <w:rPr>
                <w:b/>
                <w:sz w:val="22"/>
                <w:szCs w:val="22"/>
              </w:rPr>
              <w:t>общият размер</w:t>
            </w:r>
            <w:r w:rsidRPr="004B2029">
              <w:rPr>
                <w:sz w:val="22"/>
                <w:szCs w:val="22"/>
              </w:rPr>
              <w:t xml:space="preserve"> на помощта (параграф 1).</w:t>
            </w:r>
          </w:p>
          <w:p w:rsidR="0071555B" w:rsidRPr="004B2029" w:rsidRDefault="0071555B" w:rsidP="00AE3359">
            <w:pPr>
              <w:numPr>
                <w:ilvl w:val="0"/>
                <w:numId w:val="13"/>
              </w:numPr>
              <w:autoSpaceDE w:val="0"/>
              <w:autoSpaceDN w:val="0"/>
              <w:adjustRightInd w:val="0"/>
              <w:jc w:val="both"/>
              <w:rPr>
                <w:sz w:val="22"/>
                <w:szCs w:val="22"/>
              </w:rPr>
            </w:pPr>
            <w:r w:rsidRPr="004B2029">
              <w:rPr>
                <w:sz w:val="22"/>
                <w:szCs w:val="22"/>
              </w:rPr>
              <w:t xml:space="preserve">Когато </w:t>
            </w:r>
            <w:r w:rsidRPr="004B2029">
              <w:rPr>
                <w:b/>
                <w:sz w:val="22"/>
                <w:szCs w:val="22"/>
              </w:rPr>
              <w:t>финансиране от Съюза</w:t>
            </w:r>
            <w:r w:rsidRPr="004B2029">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71555B" w:rsidRPr="004B2029" w:rsidRDefault="0071555B" w:rsidP="00AE3359">
            <w:pPr>
              <w:numPr>
                <w:ilvl w:val="0"/>
                <w:numId w:val="13"/>
              </w:numPr>
              <w:jc w:val="both"/>
              <w:rPr>
                <w:sz w:val="22"/>
                <w:szCs w:val="22"/>
              </w:rPr>
            </w:pPr>
            <w:r w:rsidRPr="004B2029">
              <w:rPr>
                <w:sz w:val="22"/>
                <w:szCs w:val="22"/>
              </w:rPr>
              <w:t xml:space="preserve">Освободените от задължението за уведомяване помощи могат да се натрупват с всякаква друга държавна помощ, ако </w:t>
            </w:r>
            <w:proofErr w:type="spellStart"/>
            <w:r w:rsidRPr="004B2029">
              <w:rPr>
                <w:b/>
                <w:sz w:val="22"/>
                <w:szCs w:val="22"/>
              </w:rPr>
              <w:t>установимите</w:t>
            </w:r>
            <w:proofErr w:type="spellEnd"/>
            <w:r w:rsidRPr="004B2029">
              <w:rPr>
                <w:b/>
                <w:sz w:val="22"/>
                <w:szCs w:val="22"/>
              </w:rPr>
              <w:t xml:space="preserve"> разходи са различни</w:t>
            </w:r>
            <w:r w:rsidRPr="004B2029">
              <w:rPr>
                <w:sz w:val="22"/>
                <w:szCs w:val="22"/>
              </w:rPr>
              <w:t xml:space="preserve"> (параграф 3, буква а).</w:t>
            </w:r>
          </w:p>
          <w:p w:rsidR="0071555B" w:rsidRPr="004B2029" w:rsidRDefault="0071555B" w:rsidP="00AE3359">
            <w:pPr>
              <w:numPr>
                <w:ilvl w:val="0"/>
                <w:numId w:val="13"/>
              </w:numPr>
              <w:jc w:val="both"/>
              <w:rPr>
                <w:sz w:val="22"/>
                <w:szCs w:val="22"/>
              </w:rPr>
            </w:pPr>
            <w:r w:rsidRPr="004B2029">
              <w:rPr>
                <w:sz w:val="22"/>
                <w:szCs w:val="22"/>
              </w:rPr>
              <w:t xml:space="preserve">Не се допуска натрупване на освободени от задължението за уведомяване помощи с никаква друга помощ във връзка със </w:t>
            </w:r>
            <w:r w:rsidRPr="004B2029">
              <w:rPr>
                <w:b/>
                <w:sz w:val="22"/>
                <w:szCs w:val="22"/>
              </w:rPr>
              <w:t>същите допустими разходи</w:t>
            </w:r>
            <w:r w:rsidRPr="004B2029">
              <w:rPr>
                <w:sz w:val="22"/>
                <w:szCs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1161D2" w:rsidRDefault="0071555B" w:rsidP="00AE3359">
            <w:pPr>
              <w:numPr>
                <w:ilvl w:val="0"/>
                <w:numId w:val="13"/>
              </w:numPr>
              <w:jc w:val="both"/>
              <w:rPr>
                <w:sz w:val="22"/>
                <w:szCs w:val="22"/>
              </w:rPr>
            </w:pPr>
            <w:r w:rsidRPr="004B2029">
              <w:rPr>
                <w:sz w:val="22"/>
                <w:szCs w:val="22"/>
              </w:rPr>
              <w:t xml:space="preserve">Държавните помощи, освободени от задължението за уведомяване по силата на ОРГО, не могат да се натрупват с </w:t>
            </w:r>
            <w:r w:rsidRPr="00DE1084">
              <w:rPr>
                <w:b/>
                <w:sz w:val="22"/>
                <w:szCs w:val="22"/>
              </w:rPr>
              <w:t>помощ</w:t>
            </w:r>
            <w:r w:rsidRPr="004B2029">
              <w:rPr>
                <w:sz w:val="22"/>
                <w:szCs w:val="22"/>
              </w:rPr>
              <w:t xml:space="preserve"> </w:t>
            </w:r>
            <w:proofErr w:type="spellStart"/>
            <w:r w:rsidRPr="004B2029">
              <w:rPr>
                <w:b/>
                <w:sz w:val="22"/>
                <w:szCs w:val="22"/>
              </w:rPr>
              <w:t>de</w:t>
            </w:r>
            <w:proofErr w:type="spellEnd"/>
            <w:r w:rsidRPr="004B2029">
              <w:rPr>
                <w:b/>
                <w:sz w:val="22"/>
                <w:szCs w:val="22"/>
              </w:rPr>
              <w:t xml:space="preserve"> </w:t>
            </w:r>
            <w:proofErr w:type="spellStart"/>
            <w:r w:rsidRPr="004B2029">
              <w:rPr>
                <w:b/>
                <w:sz w:val="22"/>
                <w:szCs w:val="22"/>
              </w:rPr>
              <w:t>minimis</w:t>
            </w:r>
            <w:proofErr w:type="spellEnd"/>
            <w:r w:rsidRPr="004B2029">
              <w:rPr>
                <w:sz w:val="22"/>
                <w:szCs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6379" w:type="dxa"/>
            <w:shd w:val="clear" w:color="auto" w:fill="auto"/>
          </w:tcPr>
          <w:p w:rsidR="000E10AB" w:rsidRPr="001161D2" w:rsidRDefault="000E10AB" w:rsidP="006C6F59">
            <w:pPr>
              <w:rPr>
                <w:sz w:val="22"/>
                <w:szCs w:val="22"/>
              </w:rPr>
            </w:pPr>
          </w:p>
        </w:tc>
      </w:tr>
      <w:tr w:rsidR="0007352F" w:rsidRPr="002B692E" w:rsidTr="006D79B1">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07352F" w:rsidRPr="002B692E" w:rsidRDefault="0007352F" w:rsidP="0007352F">
            <w:pPr>
              <w:tabs>
                <w:tab w:val="num" w:pos="360"/>
              </w:tabs>
              <w:ind w:left="360" w:hanging="360"/>
              <w:jc w:val="both"/>
              <w:rPr>
                <w:b/>
                <w:sz w:val="22"/>
                <w:szCs w:val="22"/>
              </w:rPr>
            </w:pPr>
            <w:r>
              <w:rPr>
                <w:b/>
                <w:sz w:val="22"/>
              </w:rPr>
              <w:t xml:space="preserve">Член 9 — Публикуване и информация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07352F" w:rsidRPr="002B692E" w:rsidRDefault="0007352F" w:rsidP="00FE5850">
            <w:pPr>
              <w:rPr>
                <w:sz w:val="22"/>
                <w:szCs w:val="22"/>
              </w:rPr>
            </w:pPr>
          </w:p>
        </w:tc>
      </w:tr>
      <w:tr w:rsidR="0007352F" w:rsidRPr="002B692E" w:rsidTr="0007352F">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07352F" w:rsidRPr="006D79B1" w:rsidRDefault="0007352F" w:rsidP="0007352F">
            <w:pPr>
              <w:numPr>
                <w:ilvl w:val="0"/>
                <w:numId w:val="22"/>
              </w:numPr>
              <w:autoSpaceDE w:val="0"/>
              <w:autoSpaceDN w:val="0"/>
              <w:adjustRightInd w:val="0"/>
              <w:ind w:left="328" w:hanging="328"/>
              <w:jc w:val="both"/>
              <w:rPr>
                <w:sz w:val="22"/>
                <w:szCs w:val="22"/>
              </w:rPr>
            </w:pPr>
            <w:r>
              <w:rPr>
                <w:sz w:val="22"/>
              </w:rPr>
              <w:t xml:space="preserve">Публикуване на подробен уебсайт за държавните помощи — на национално или </w:t>
            </w:r>
            <w:r>
              <w:rPr>
                <w:sz w:val="22"/>
              </w:rPr>
              <w:lastRenderedPageBreak/>
              <w:t>регионално равнище — на следното (параграф 1):</w:t>
            </w:r>
          </w:p>
          <w:p w:rsidR="0007352F" w:rsidRPr="006D79B1" w:rsidRDefault="0007352F" w:rsidP="0007352F">
            <w:pPr>
              <w:numPr>
                <w:ilvl w:val="1"/>
                <w:numId w:val="23"/>
              </w:numPr>
              <w:autoSpaceDE w:val="0"/>
              <w:autoSpaceDN w:val="0"/>
              <w:adjustRightInd w:val="0"/>
              <w:ind w:left="754" w:hanging="426"/>
              <w:jc w:val="both"/>
              <w:rPr>
                <w:sz w:val="22"/>
                <w:szCs w:val="22"/>
              </w:rPr>
            </w:pPr>
            <w:r>
              <w:rPr>
                <w:sz w:val="22"/>
              </w:rPr>
              <w:t>обобщената информация (вж. член 11) или връзка, която предоставя достъп до нея;</w:t>
            </w:r>
          </w:p>
          <w:p w:rsidR="0007352F" w:rsidRPr="006D79B1" w:rsidRDefault="0007352F" w:rsidP="0007352F">
            <w:pPr>
              <w:numPr>
                <w:ilvl w:val="1"/>
                <w:numId w:val="23"/>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07352F" w:rsidRPr="006D79B1" w:rsidRDefault="0007352F" w:rsidP="0007352F">
            <w:pPr>
              <w:numPr>
                <w:ilvl w:val="1"/>
                <w:numId w:val="23"/>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07352F" w:rsidRPr="006D79B1" w:rsidRDefault="0007352F" w:rsidP="0007352F">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07352F" w:rsidRPr="006D79B1" w:rsidRDefault="0007352F" w:rsidP="0007352F">
            <w:pPr>
              <w:numPr>
                <w:ilvl w:val="0"/>
                <w:numId w:val="22"/>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07352F" w:rsidRPr="006D79B1" w:rsidRDefault="0007352F" w:rsidP="0007352F">
            <w:pPr>
              <w:numPr>
                <w:ilvl w:val="0"/>
                <w:numId w:val="24"/>
              </w:numPr>
              <w:autoSpaceDE w:val="0"/>
              <w:autoSpaceDN w:val="0"/>
              <w:adjustRightInd w:val="0"/>
              <w:jc w:val="both"/>
              <w:rPr>
                <w:sz w:val="22"/>
                <w:szCs w:val="22"/>
              </w:rPr>
            </w:pPr>
            <w:r>
              <w:rPr>
                <w:sz w:val="22"/>
              </w:rPr>
              <w:t>0,5—1;</w:t>
            </w:r>
          </w:p>
          <w:p w:rsidR="0007352F" w:rsidRPr="006D79B1" w:rsidRDefault="0007352F" w:rsidP="0007352F">
            <w:pPr>
              <w:numPr>
                <w:ilvl w:val="0"/>
                <w:numId w:val="24"/>
              </w:numPr>
              <w:autoSpaceDE w:val="0"/>
              <w:autoSpaceDN w:val="0"/>
              <w:adjustRightInd w:val="0"/>
              <w:jc w:val="both"/>
              <w:rPr>
                <w:sz w:val="22"/>
                <w:szCs w:val="22"/>
              </w:rPr>
            </w:pPr>
            <w:r>
              <w:rPr>
                <w:sz w:val="22"/>
              </w:rPr>
              <w:t>1—2;</w:t>
            </w:r>
          </w:p>
          <w:p w:rsidR="0007352F" w:rsidRPr="006D79B1" w:rsidRDefault="0007352F" w:rsidP="0007352F">
            <w:pPr>
              <w:numPr>
                <w:ilvl w:val="0"/>
                <w:numId w:val="24"/>
              </w:numPr>
              <w:autoSpaceDE w:val="0"/>
              <w:autoSpaceDN w:val="0"/>
              <w:adjustRightInd w:val="0"/>
              <w:jc w:val="both"/>
              <w:rPr>
                <w:sz w:val="22"/>
                <w:szCs w:val="22"/>
              </w:rPr>
            </w:pPr>
            <w:r>
              <w:rPr>
                <w:sz w:val="22"/>
              </w:rPr>
              <w:t>2—5;</w:t>
            </w:r>
          </w:p>
          <w:p w:rsidR="0007352F" w:rsidRPr="006D79B1" w:rsidRDefault="0007352F" w:rsidP="0007352F">
            <w:pPr>
              <w:numPr>
                <w:ilvl w:val="0"/>
                <w:numId w:val="24"/>
              </w:numPr>
              <w:autoSpaceDE w:val="0"/>
              <w:autoSpaceDN w:val="0"/>
              <w:adjustRightInd w:val="0"/>
              <w:jc w:val="both"/>
              <w:rPr>
                <w:sz w:val="22"/>
                <w:szCs w:val="22"/>
              </w:rPr>
            </w:pPr>
            <w:r>
              <w:rPr>
                <w:sz w:val="22"/>
              </w:rPr>
              <w:t>5—10;</w:t>
            </w:r>
          </w:p>
          <w:p w:rsidR="0007352F" w:rsidRPr="006D79B1" w:rsidRDefault="0007352F" w:rsidP="0007352F">
            <w:pPr>
              <w:numPr>
                <w:ilvl w:val="0"/>
                <w:numId w:val="24"/>
              </w:numPr>
              <w:autoSpaceDE w:val="0"/>
              <w:autoSpaceDN w:val="0"/>
              <w:adjustRightInd w:val="0"/>
              <w:jc w:val="both"/>
              <w:rPr>
                <w:sz w:val="22"/>
                <w:szCs w:val="22"/>
              </w:rPr>
            </w:pPr>
            <w:r>
              <w:rPr>
                <w:sz w:val="22"/>
              </w:rPr>
              <w:t>10—30; и</w:t>
            </w:r>
          </w:p>
          <w:p w:rsidR="0007352F" w:rsidRPr="006D79B1" w:rsidRDefault="0007352F" w:rsidP="0007352F">
            <w:pPr>
              <w:numPr>
                <w:ilvl w:val="0"/>
                <w:numId w:val="24"/>
              </w:numPr>
              <w:autoSpaceDE w:val="0"/>
              <w:autoSpaceDN w:val="0"/>
              <w:adjustRightInd w:val="0"/>
              <w:jc w:val="both"/>
              <w:rPr>
                <w:sz w:val="22"/>
                <w:szCs w:val="22"/>
              </w:rPr>
            </w:pPr>
            <w:r>
              <w:rPr>
                <w:sz w:val="22"/>
              </w:rPr>
              <w:t>30 и повече.</w:t>
            </w:r>
          </w:p>
          <w:p w:rsidR="0007352F" w:rsidRPr="006D79B1" w:rsidRDefault="0007352F" w:rsidP="0007352F">
            <w:pPr>
              <w:numPr>
                <w:ilvl w:val="0"/>
                <w:numId w:val="22"/>
              </w:numPr>
              <w:autoSpaceDE w:val="0"/>
              <w:autoSpaceDN w:val="0"/>
              <w:adjustRightInd w:val="0"/>
              <w:ind w:left="328" w:hanging="283"/>
              <w:jc w:val="both"/>
              <w:rPr>
                <w:sz w:val="22"/>
                <w:szCs w:val="22"/>
              </w:rPr>
            </w:pPr>
            <w:r>
              <w:rPr>
                <w:sz w:val="22"/>
              </w:rPr>
              <w:t xml:space="preserve">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w:t>
            </w:r>
            <w:r>
              <w:rPr>
                <w:sz w:val="22"/>
              </w:rPr>
              <w:lastRenderedPageBreak/>
              <w:t>данъчната декларация, и е достъпна най-малко 10 години от датата, на която е предоставена помощта (параграф 4).</w:t>
            </w:r>
          </w:p>
          <w:p w:rsidR="0007352F" w:rsidRPr="0007352F" w:rsidRDefault="0007352F" w:rsidP="0007352F">
            <w:pPr>
              <w:numPr>
                <w:ilvl w:val="0"/>
                <w:numId w:val="22"/>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7352F" w:rsidRPr="002B692E" w:rsidRDefault="0007352F" w:rsidP="00FE5850">
            <w:pPr>
              <w:rPr>
                <w:sz w:val="22"/>
                <w:szCs w:val="22"/>
              </w:rPr>
            </w:pPr>
          </w:p>
        </w:tc>
      </w:tr>
    </w:tbl>
    <w:p w:rsidR="0007352F" w:rsidRDefault="0007352F" w:rsidP="00AE3359">
      <w:pPr>
        <w:rPr>
          <w:b/>
          <w:sz w:val="22"/>
          <w:szCs w:val="22"/>
        </w:rPr>
      </w:pPr>
    </w:p>
    <w:p w:rsidR="00E215B6" w:rsidRPr="006C3BE6" w:rsidRDefault="007D461F" w:rsidP="00AE3359">
      <w:pPr>
        <w:rPr>
          <w:sz w:val="22"/>
          <w:szCs w:val="22"/>
        </w:rPr>
      </w:pPr>
      <w:r w:rsidRPr="006C3BE6">
        <w:rPr>
          <w:b/>
          <w:sz w:val="22"/>
          <w:szCs w:val="22"/>
        </w:rPr>
        <w:t>За определенията на понятията</w:t>
      </w:r>
      <w:r w:rsidRPr="006C3BE6">
        <w:rPr>
          <w:sz w:val="22"/>
          <w:szCs w:val="22"/>
        </w:rPr>
        <w:t>: член 2 (да се обърне внимание на новото определение на предприятие в затруднено положение).</w:t>
      </w:r>
    </w:p>
    <w:p w:rsidR="007D461F" w:rsidRPr="006C3BE6" w:rsidRDefault="0007352F" w:rsidP="006C6F59">
      <w:pPr>
        <w:rPr>
          <w:sz w:val="22"/>
          <w:szCs w:val="22"/>
        </w:rPr>
      </w:pPr>
      <w:r w:rsidRPr="006C3BE6">
        <w:rPr>
          <w:b/>
          <w:sz w:val="22"/>
          <w:szCs w:val="22"/>
        </w:rPr>
        <w:t>Докладване</w:t>
      </w:r>
      <w:r w:rsidRPr="006C3BE6">
        <w:rPr>
          <w:sz w:val="22"/>
          <w:szCs w:val="22"/>
        </w:rPr>
        <w:t>: член 11.</w:t>
      </w:r>
    </w:p>
    <w:p w:rsidR="007D461F" w:rsidRPr="006C3BE6" w:rsidRDefault="007D461F" w:rsidP="006C6F59">
      <w:pPr>
        <w:rPr>
          <w:sz w:val="22"/>
          <w:szCs w:val="22"/>
        </w:rPr>
      </w:pPr>
      <w:r w:rsidRPr="006C3BE6">
        <w:rPr>
          <w:b/>
          <w:sz w:val="22"/>
          <w:szCs w:val="22"/>
        </w:rPr>
        <w:t>Контрол</w:t>
      </w:r>
      <w:r w:rsidRPr="006C3BE6">
        <w:rPr>
          <w:sz w:val="22"/>
          <w:szCs w:val="22"/>
        </w:rPr>
        <w:t>:член</w:t>
      </w:r>
      <w:r w:rsidR="00DE1084">
        <w:rPr>
          <w:sz w:val="22"/>
          <w:szCs w:val="22"/>
          <w:lang w:val="en-GB"/>
        </w:rPr>
        <w:t xml:space="preserve"> </w:t>
      </w:r>
      <w:r w:rsidRPr="006C3BE6">
        <w:rPr>
          <w:sz w:val="22"/>
          <w:szCs w:val="22"/>
        </w:rPr>
        <w:t>12</w:t>
      </w:r>
    </w:p>
    <w:p w:rsidR="00933611" w:rsidRPr="006C3BE6" w:rsidRDefault="00DD57E1" w:rsidP="001161D2">
      <w:pPr>
        <w:rPr>
          <w:sz w:val="22"/>
          <w:szCs w:val="22"/>
        </w:rPr>
      </w:pPr>
      <w:r w:rsidRPr="006C3BE6">
        <w:rPr>
          <w:b/>
          <w:sz w:val="22"/>
          <w:szCs w:val="22"/>
        </w:rPr>
        <w:t>Отмяна на груповото освобождаване</w:t>
      </w:r>
      <w:r w:rsidRPr="006C3BE6">
        <w:rPr>
          <w:sz w:val="22"/>
          <w:szCs w:val="22"/>
        </w:rPr>
        <w:t>: член 10.</w:t>
      </w:r>
    </w:p>
    <w:p w:rsidR="00933611" w:rsidRPr="006C3BE6" w:rsidRDefault="00933611" w:rsidP="001161D2">
      <w:pPr>
        <w:rPr>
          <w:sz w:val="22"/>
          <w:szCs w:val="22"/>
        </w:rPr>
      </w:pPr>
    </w:p>
    <w:p w:rsidR="00003D17" w:rsidRPr="006C3BE6" w:rsidRDefault="00003D17" w:rsidP="001161D2">
      <w:pPr>
        <w:jc w:val="center"/>
        <w:rPr>
          <w:sz w:val="22"/>
          <w:szCs w:val="22"/>
        </w:rPr>
      </w:pPr>
      <w:r w:rsidRPr="006C3BE6">
        <w:rPr>
          <w:b/>
          <w:sz w:val="22"/>
          <w:szCs w:val="22"/>
          <w:u w:val="single"/>
        </w:rPr>
        <w:t>Б. Специални условия за помощите за култура и опазване на културното наследство</w:t>
      </w:r>
    </w:p>
    <w:p w:rsidR="00003D17" w:rsidRPr="001161D2" w:rsidRDefault="00003D17" w:rsidP="001161D2">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1161D2" w:rsidTr="00895393">
        <w:trPr>
          <w:trHeight w:val="145"/>
        </w:trPr>
        <w:tc>
          <w:tcPr>
            <w:tcW w:w="2687" w:type="pct"/>
            <w:tcBorders>
              <w:bottom w:val="single" w:sz="4" w:space="0" w:color="auto"/>
            </w:tcBorders>
            <w:shd w:val="clear" w:color="auto" w:fill="333399"/>
          </w:tcPr>
          <w:p w:rsidR="009C0788" w:rsidRPr="001161D2" w:rsidRDefault="009C0788" w:rsidP="001161D2">
            <w:pPr>
              <w:ind w:left="360"/>
              <w:jc w:val="center"/>
              <w:rPr>
                <w:b/>
                <w:smallCaps/>
                <w:color w:val="FFFFFF"/>
                <w:sz w:val="22"/>
                <w:szCs w:val="22"/>
              </w:rPr>
            </w:pPr>
            <w:r>
              <w:rPr>
                <w:b/>
                <w:smallCaps/>
                <w:color w:val="FFFFFF"/>
                <w:sz w:val="22"/>
              </w:rPr>
              <w:t>Член 53</w:t>
            </w:r>
          </w:p>
          <w:p w:rsidR="00BB080C" w:rsidRPr="001161D2" w:rsidRDefault="0007152F" w:rsidP="001161D2">
            <w:pPr>
              <w:ind w:left="360"/>
              <w:jc w:val="center"/>
              <w:rPr>
                <w:b/>
                <w:smallCaps/>
                <w:color w:val="FFFFFF"/>
                <w:sz w:val="22"/>
                <w:szCs w:val="22"/>
              </w:rPr>
            </w:pPr>
            <w:r>
              <w:rPr>
                <w:b/>
                <w:smallCaps/>
                <w:color w:val="FFFFFF"/>
                <w:sz w:val="22"/>
              </w:rPr>
              <w:t>Помощи за култура и опазване на културното наследство</w:t>
            </w:r>
          </w:p>
        </w:tc>
        <w:tc>
          <w:tcPr>
            <w:tcW w:w="2313" w:type="pct"/>
            <w:shd w:val="clear" w:color="auto" w:fill="333399"/>
          </w:tcPr>
          <w:p w:rsidR="00BB080C" w:rsidRPr="001161D2" w:rsidRDefault="00BB080C" w:rsidP="001161D2">
            <w:pPr>
              <w:jc w:val="center"/>
              <w:rPr>
                <w:b/>
                <w:smallCaps/>
                <w:color w:val="FFFFFF"/>
                <w:sz w:val="22"/>
                <w:szCs w:val="22"/>
              </w:rPr>
            </w:pPr>
            <w:r>
              <w:rPr>
                <w:b/>
                <w:smallCaps/>
                <w:color w:val="FFFFFF"/>
                <w:sz w:val="22"/>
              </w:rPr>
              <w:t>Проверка на съответствието (OK?)</w:t>
            </w:r>
          </w:p>
        </w:tc>
      </w:tr>
      <w:tr w:rsidR="00AE3359" w:rsidRPr="001161D2" w:rsidTr="00895393">
        <w:trPr>
          <w:trHeight w:val="850"/>
        </w:trPr>
        <w:tc>
          <w:tcPr>
            <w:tcW w:w="2687" w:type="pct"/>
            <w:shd w:val="clear" w:color="auto" w:fill="auto"/>
          </w:tcPr>
          <w:p w:rsidR="00AE3359" w:rsidRPr="00A57B4B" w:rsidRDefault="00AE3359" w:rsidP="001161D2">
            <w:pPr>
              <w:jc w:val="both"/>
              <w:rPr>
                <w:spacing w:val="-4"/>
                <w:sz w:val="22"/>
                <w:szCs w:val="22"/>
              </w:rPr>
            </w:pPr>
            <w:r w:rsidRPr="00A57B4B">
              <w:rPr>
                <w:spacing w:val="-4"/>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AE3359" w:rsidRPr="00AE3359" w:rsidRDefault="00AE3359" w:rsidP="001161D2">
            <w:pPr>
              <w:numPr>
                <w:ilvl w:val="0"/>
                <w:numId w:val="14"/>
              </w:numPr>
              <w:jc w:val="both"/>
              <w:rPr>
                <w:sz w:val="22"/>
                <w:szCs w:val="22"/>
              </w:rPr>
            </w:pP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383"/>
        </w:trPr>
        <w:tc>
          <w:tcPr>
            <w:tcW w:w="2687" w:type="pct"/>
            <w:shd w:val="clear" w:color="auto" w:fill="D9D9D9"/>
          </w:tcPr>
          <w:p w:rsidR="00AE3359" w:rsidRPr="001161D2" w:rsidRDefault="00AE3359" w:rsidP="001161D2">
            <w:pPr>
              <w:jc w:val="both"/>
              <w:rPr>
                <w:b/>
                <w:sz w:val="22"/>
                <w:szCs w:val="22"/>
              </w:rPr>
            </w:pPr>
            <w:r>
              <w:rPr>
                <w:b/>
                <w:sz w:val="22"/>
              </w:rPr>
              <w:t>Цел на помощта и вид обхванати дейности</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jc w:val="both"/>
              <w:rPr>
                <w:sz w:val="22"/>
                <w:szCs w:val="22"/>
              </w:rPr>
            </w:pPr>
            <w:r>
              <w:rPr>
                <w:sz w:val="22"/>
              </w:rPr>
              <w:t xml:space="preserve">Помощи, отпуснати за </w:t>
            </w:r>
            <w:r>
              <w:rPr>
                <w:b/>
                <w:sz w:val="22"/>
              </w:rPr>
              <w:t>следните културни цели и дейности</w:t>
            </w:r>
            <w:r>
              <w:rPr>
                <w:sz w:val="22"/>
              </w:rPr>
              <w:t xml:space="preserve"> (параграф 2):</w:t>
            </w:r>
          </w:p>
          <w:p w:rsidR="00AE3359" w:rsidRPr="000F52B9" w:rsidRDefault="00AE3359" w:rsidP="00AE3359">
            <w:pPr>
              <w:numPr>
                <w:ilvl w:val="0"/>
                <w:numId w:val="14"/>
              </w:numPr>
              <w:jc w:val="both"/>
              <w:rPr>
                <w:sz w:val="22"/>
                <w:szCs w:val="22"/>
              </w:rPr>
            </w:pPr>
            <w:r>
              <w:rPr>
                <w:sz w:val="22"/>
              </w:rPr>
              <w:t>музеи, архиви, библиотеки, артистични и културни центрове и средища, театри, оперни театри, концертни зали, други организации за представления на живо, институции, ангажирани със съхраняване на филмовото наследство, и други подобни артистични и културни инфраструктури, организации и институции;</w:t>
            </w:r>
          </w:p>
          <w:p w:rsidR="00AE3359" w:rsidRPr="000F52B9" w:rsidRDefault="00AE3359" w:rsidP="00AE3359">
            <w:pPr>
              <w:numPr>
                <w:ilvl w:val="0"/>
                <w:numId w:val="14"/>
              </w:numPr>
              <w:jc w:val="both"/>
              <w:rPr>
                <w:sz w:val="22"/>
                <w:szCs w:val="22"/>
              </w:rPr>
            </w:pPr>
            <w:r>
              <w:rPr>
                <w:sz w:val="22"/>
              </w:rPr>
              <w:t>материално наследство, в това число всички форми на движимо и недвижимо културно наследство и археологически обекти, паметници, исторически обекти и сгради; природно наследство, свързано с културно наследство, или ако е признато официално като културно или природно наследство от компетентните публични органи на държава членка;</w:t>
            </w:r>
          </w:p>
          <w:p w:rsidR="00AE3359" w:rsidRPr="000F52B9" w:rsidRDefault="00AE3359" w:rsidP="00AE3359">
            <w:pPr>
              <w:numPr>
                <w:ilvl w:val="0"/>
                <w:numId w:val="14"/>
              </w:numPr>
              <w:jc w:val="both"/>
              <w:rPr>
                <w:sz w:val="22"/>
                <w:szCs w:val="22"/>
              </w:rPr>
            </w:pPr>
            <w:r>
              <w:rPr>
                <w:sz w:val="22"/>
              </w:rPr>
              <w:t xml:space="preserve">нематериално наследство във всичките му форми, в това число </w:t>
            </w:r>
            <w:r>
              <w:rPr>
                <w:sz w:val="22"/>
              </w:rPr>
              <w:lastRenderedPageBreak/>
              <w:t>фолклорни обичаи и занаяти;</w:t>
            </w:r>
          </w:p>
          <w:p w:rsidR="00AE3359" w:rsidRPr="000F52B9" w:rsidRDefault="00AE3359" w:rsidP="00AE3359">
            <w:pPr>
              <w:numPr>
                <w:ilvl w:val="0"/>
                <w:numId w:val="14"/>
              </w:numPr>
              <w:jc w:val="both"/>
              <w:rPr>
                <w:sz w:val="22"/>
                <w:szCs w:val="22"/>
              </w:rPr>
            </w:pPr>
            <w:r>
              <w:rPr>
                <w:sz w:val="22"/>
              </w:rPr>
              <w:t>художествени или културни прояви и представления, фестивали, изложби и други подобни културни дейности;</w:t>
            </w:r>
          </w:p>
          <w:p w:rsidR="00AE3359" w:rsidRPr="000F52B9" w:rsidRDefault="00AE3359" w:rsidP="00AE3359">
            <w:pPr>
              <w:numPr>
                <w:ilvl w:val="0"/>
                <w:numId w:val="14"/>
              </w:numPr>
              <w:jc w:val="both"/>
              <w:rPr>
                <w:sz w:val="22"/>
                <w:szCs w:val="22"/>
              </w:rPr>
            </w:pPr>
            <w:r>
              <w:rPr>
                <w:sz w:val="22"/>
              </w:rPr>
              <w:t>културни и артистични образователни дейности и популяризиране на важното значение на опазването и насърчаването на многообразието от форми на културно изразяване чрез образователни програми и програми за по-голямо популяризиране, включително чрез използване на нови технологии;</w:t>
            </w:r>
          </w:p>
          <w:p w:rsidR="00AE3359" w:rsidRPr="006C6F59" w:rsidRDefault="00AE3359" w:rsidP="001161D2">
            <w:pPr>
              <w:numPr>
                <w:ilvl w:val="0"/>
                <w:numId w:val="14"/>
              </w:numPr>
              <w:jc w:val="both"/>
              <w:rPr>
                <w:sz w:val="22"/>
                <w:szCs w:val="22"/>
              </w:rPr>
            </w:pPr>
            <w:r>
              <w:rPr>
                <w:sz w:val="22"/>
              </w:rPr>
              <w:t xml:space="preserve">писане, редактиране, продуциране, дистрибуция, </w:t>
            </w:r>
            <w:proofErr w:type="spellStart"/>
            <w:r>
              <w:rPr>
                <w:sz w:val="22"/>
              </w:rPr>
              <w:t>цифровизация</w:t>
            </w:r>
            <w:proofErr w:type="spellEnd"/>
            <w:r>
              <w:rPr>
                <w:sz w:val="22"/>
              </w:rPr>
              <w:t xml:space="preserve"> и издаване на музика и литература, включително преводи.</w:t>
            </w: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142"/>
        </w:trPr>
        <w:tc>
          <w:tcPr>
            <w:tcW w:w="2687" w:type="pct"/>
            <w:shd w:val="clear" w:color="auto" w:fill="D9D9D9"/>
          </w:tcPr>
          <w:p w:rsidR="00AE3359" w:rsidRPr="001161D2" w:rsidRDefault="00AE3359" w:rsidP="001161D2">
            <w:pPr>
              <w:jc w:val="both"/>
              <w:rPr>
                <w:b/>
                <w:sz w:val="22"/>
                <w:szCs w:val="22"/>
              </w:rPr>
            </w:pPr>
            <w:r>
              <w:rPr>
                <w:b/>
                <w:sz w:val="22"/>
              </w:rPr>
              <w:lastRenderedPageBreak/>
              <w:t>Форма на помощта</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rPr>
                <w:sz w:val="22"/>
                <w:szCs w:val="22"/>
              </w:rPr>
            </w:pPr>
            <w:r>
              <w:rPr>
                <w:sz w:val="22"/>
              </w:rPr>
              <w:t xml:space="preserve">Помощта може да бъде под </w:t>
            </w:r>
            <w:r>
              <w:rPr>
                <w:b/>
                <w:sz w:val="22"/>
              </w:rPr>
              <w:t>формата</w:t>
            </w:r>
            <w:r>
              <w:rPr>
                <w:sz w:val="22"/>
              </w:rPr>
              <w:t xml:space="preserve"> на (параграф 3):</w:t>
            </w:r>
          </w:p>
          <w:p w:rsidR="00AE3359" w:rsidRPr="000F52B9" w:rsidRDefault="00AE3359" w:rsidP="00AE3359">
            <w:pPr>
              <w:numPr>
                <w:ilvl w:val="0"/>
                <w:numId w:val="15"/>
              </w:numPr>
              <w:rPr>
                <w:sz w:val="22"/>
                <w:szCs w:val="22"/>
              </w:rPr>
            </w:pPr>
            <w:r>
              <w:rPr>
                <w:sz w:val="22"/>
              </w:rPr>
              <w:t>инвестиционна помощ, включително помощ за изграждане или модернизиране на културна инфраструктура;</w:t>
            </w:r>
          </w:p>
          <w:p w:rsidR="00AE3359" w:rsidRPr="006C6F59" w:rsidRDefault="00AE3359" w:rsidP="001161D2">
            <w:pPr>
              <w:numPr>
                <w:ilvl w:val="0"/>
                <w:numId w:val="15"/>
              </w:numPr>
              <w:rPr>
                <w:sz w:val="22"/>
                <w:szCs w:val="22"/>
              </w:rPr>
            </w:pPr>
            <w:r>
              <w:rPr>
                <w:sz w:val="22"/>
              </w:rPr>
              <w:t>оперативна помощ.</w:t>
            </w: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372"/>
        </w:trPr>
        <w:tc>
          <w:tcPr>
            <w:tcW w:w="2687" w:type="pct"/>
            <w:shd w:val="clear" w:color="auto" w:fill="D9D9D9"/>
          </w:tcPr>
          <w:p w:rsidR="00AE3359" w:rsidRPr="001161D2" w:rsidRDefault="00AE3359" w:rsidP="001161D2">
            <w:pPr>
              <w:jc w:val="both"/>
              <w:rPr>
                <w:b/>
                <w:sz w:val="22"/>
                <w:szCs w:val="22"/>
              </w:rPr>
            </w:pPr>
            <w:r>
              <w:rPr>
                <w:b/>
                <w:sz w:val="22"/>
              </w:rPr>
              <w:t>Допустими разходи</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rPr>
                <w:sz w:val="22"/>
                <w:szCs w:val="22"/>
              </w:rPr>
            </w:pPr>
            <w:r>
              <w:rPr>
                <w:b/>
                <w:sz w:val="22"/>
              </w:rPr>
              <w:t>За инвестиционни помощи допустимите разходи</w:t>
            </w:r>
            <w:r>
              <w:t xml:space="preserve"> са разходите за инвестиции в материални и нематериални активи (параграф 5):</w:t>
            </w:r>
          </w:p>
          <w:p w:rsidR="00AE3359" w:rsidRPr="000F52B9" w:rsidRDefault="00AE3359" w:rsidP="00AE3359">
            <w:pPr>
              <w:numPr>
                <w:ilvl w:val="0"/>
                <w:numId w:val="16"/>
              </w:numPr>
              <w:jc w:val="both"/>
              <w:rPr>
                <w:sz w:val="22"/>
                <w:szCs w:val="22"/>
              </w:rPr>
            </w:pPr>
            <w:r>
              <w:rPr>
                <w:sz w:val="22"/>
              </w:rPr>
              <w:t>разходи за изграждане, модернизиране, закупуване, съхраняване или подобряване</w:t>
            </w:r>
            <w:r w:rsidR="00A759D8">
              <w:rPr>
                <w:sz w:val="22"/>
              </w:rPr>
              <w:t xml:space="preserve"> на инфраструктура, ако поне 80</w:t>
            </w:r>
            <w:r w:rsidR="00A759D8">
              <w:rPr>
                <w:sz w:val="22"/>
                <w:lang w:val="en-GB"/>
              </w:rPr>
              <w:t> </w:t>
            </w:r>
            <w:r>
              <w:rPr>
                <w:sz w:val="22"/>
              </w:rPr>
              <w:t>% от нейния годишен времеви или пространствен капацитет се използват за културни цели;</w:t>
            </w:r>
          </w:p>
          <w:p w:rsidR="00AE3359" w:rsidRPr="000F52B9" w:rsidRDefault="00AE3359" w:rsidP="00AE3359">
            <w:pPr>
              <w:numPr>
                <w:ilvl w:val="0"/>
                <w:numId w:val="16"/>
              </w:numPr>
              <w:jc w:val="both"/>
              <w:rPr>
                <w:sz w:val="22"/>
                <w:szCs w:val="22"/>
              </w:rPr>
            </w:pPr>
            <w:r>
              <w:rPr>
                <w:sz w:val="22"/>
              </w:rPr>
              <w:t>разходи за закупуване, включително на лизинг, прехвърляне на собствеността или физическо преместване на културно наследство;</w:t>
            </w:r>
          </w:p>
          <w:p w:rsidR="00AE3359" w:rsidRPr="000F52B9" w:rsidRDefault="00AE3359" w:rsidP="00AE3359">
            <w:pPr>
              <w:numPr>
                <w:ilvl w:val="0"/>
                <w:numId w:val="16"/>
              </w:numPr>
              <w:jc w:val="both"/>
              <w:rPr>
                <w:sz w:val="22"/>
                <w:szCs w:val="22"/>
              </w:rPr>
            </w:pPr>
            <w:r>
              <w:rPr>
                <w:sz w:val="22"/>
              </w:rPr>
              <w:t xml:space="preserve">разходи за опазване, съхраняване, реставрация и рехабилитация на материално и нематериално културно наследство, включително допълнителни разходи за съхранение при подходящи условия, специални инструменти, материали и разходи за документация, научни изследвания, </w:t>
            </w:r>
            <w:proofErr w:type="spellStart"/>
            <w:r>
              <w:rPr>
                <w:sz w:val="22"/>
              </w:rPr>
              <w:t>цифровизация</w:t>
            </w:r>
            <w:proofErr w:type="spellEnd"/>
            <w:r>
              <w:rPr>
                <w:sz w:val="22"/>
              </w:rPr>
              <w:t xml:space="preserve"> и публикуване;</w:t>
            </w:r>
          </w:p>
          <w:p w:rsidR="00AE3359" w:rsidRPr="000F52B9" w:rsidRDefault="00AE3359" w:rsidP="00AE3359">
            <w:pPr>
              <w:numPr>
                <w:ilvl w:val="0"/>
                <w:numId w:val="16"/>
              </w:numPr>
              <w:jc w:val="both"/>
              <w:rPr>
                <w:sz w:val="22"/>
                <w:szCs w:val="22"/>
              </w:rPr>
            </w:pPr>
            <w:r>
              <w:rPr>
                <w:sz w:val="22"/>
              </w:rPr>
              <w:t xml:space="preserve">разходи за подобряване на достъпа на обществеността до културното наследство, включително разходи за </w:t>
            </w:r>
            <w:proofErr w:type="spellStart"/>
            <w:r>
              <w:rPr>
                <w:sz w:val="22"/>
              </w:rPr>
              <w:t>цифровизация</w:t>
            </w:r>
            <w:proofErr w:type="spellEnd"/>
            <w:r>
              <w:rPr>
                <w:sz w:val="22"/>
              </w:rPr>
              <w:t xml:space="preserve"> и други нови технологии, разходи за подобряване на достъпността за лица със </w:t>
            </w:r>
            <w:r>
              <w:rPr>
                <w:sz w:val="22"/>
              </w:rPr>
              <w:lastRenderedPageBreak/>
              <w:t xml:space="preserve">специални нужди (по-специално рампи и подемници за хора с увреждания, надписи на </w:t>
            </w:r>
            <w:proofErr w:type="spellStart"/>
            <w:r>
              <w:rPr>
                <w:sz w:val="22"/>
              </w:rPr>
              <w:t>брайловата</w:t>
            </w:r>
            <w:proofErr w:type="spellEnd"/>
            <w:r>
              <w:rPr>
                <w:sz w:val="22"/>
              </w:rPr>
              <w:t xml:space="preserve"> азбука и релефни експонати в музеите) и разходи за насърчаване на културното многообразие по отношение на представянето, програмите и посетителите;</w:t>
            </w:r>
          </w:p>
          <w:p w:rsidR="00AE3359" w:rsidRPr="000F52B9" w:rsidRDefault="00AE3359" w:rsidP="00AE3359">
            <w:pPr>
              <w:numPr>
                <w:ilvl w:val="0"/>
                <w:numId w:val="16"/>
              </w:numPr>
              <w:jc w:val="both"/>
              <w:rPr>
                <w:sz w:val="22"/>
                <w:szCs w:val="22"/>
              </w:rPr>
            </w:pPr>
            <w:r>
              <w:rPr>
                <w:sz w:val="22"/>
              </w:rPr>
              <w:t>разходи за културни проекти и дейности, сътрудничество и програми за обмен и безвъзмездни средства, включително разходи за процедури по подбор, разходи за реклама и разходи, направени пряко в резултат на проекта.</w:t>
            </w:r>
          </w:p>
          <w:p w:rsidR="00AE3359" w:rsidRPr="000F52B9" w:rsidRDefault="00AE3359" w:rsidP="00AE3359">
            <w:pPr>
              <w:numPr>
                <w:ilvl w:val="0"/>
                <w:numId w:val="8"/>
              </w:numPr>
              <w:rPr>
                <w:sz w:val="22"/>
                <w:szCs w:val="22"/>
              </w:rPr>
            </w:pPr>
            <w:r>
              <w:rPr>
                <w:b/>
                <w:sz w:val="22"/>
              </w:rPr>
              <w:t>За оперативни помощи допустимите разходи</w:t>
            </w:r>
            <w:r>
              <w:t xml:space="preserve"> са (параграф 5):</w:t>
            </w:r>
          </w:p>
          <w:p w:rsidR="00AE3359" w:rsidRPr="000F52B9" w:rsidRDefault="00AE3359" w:rsidP="00AE3359">
            <w:pPr>
              <w:numPr>
                <w:ilvl w:val="0"/>
                <w:numId w:val="17"/>
              </w:numPr>
              <w:jc w:val="both"/>
              <w:rPr>
                <w:sz w:val="22"/>
                <w:szCs w:val="22"/>
              </w:rPr>
            </w:pPr>
            <w:r>
              <w:rPr>
                <w:sz w:val="22"/>
              </w:rPr>
              <w:t>разходите на културната институция или обекта на културно наследство, свързани с непрекъснати или периодични дейности, включително изложби, представления и събития и други подобни културни дейности, които се извършват в обичайния ход на стопанската дейност;</w:t>
            </w:r>
          </w:p>
          <w:p w:rsidR="00AE3359" w:rsidRPr="000F52B9" w:rsidRDefault="00AE3359" w:rsidP="00AE3359">
            <w:pPr>
              <w:numPr>
                <w:ilvl w:val="0"/>
                <w:numId w:val="17"/>
              </w:numPr>
              <w:jc w:val="both"/>
              <w:rPr>
                <w:sz w:val="22"/>
                <w:szCs w:val="22"/>
              </w:rPr>
            </w:pPr>
            <w:r>
              <w:rPr>
                <w:sz w:val="22"/>
              </w:rPr>
              <w:t>разходите за културни и артистични образователни дейности и за популяризиране на важното значение на опазването и насърчаването на многообразието от форми на културно изразяване чрез образователни програми и програми за по-голямо популяризиране, включително чрез използване на нови технологии;</w:t>
            </w:r>
          </w:p>
          <w:p w:rsidR="00AE3359" w:rsidRPr="000F52B9" w:rsidRDefault="00AE3359" w:rsidP="00AE3359">
            <w:pPr>
              <w:numPr>
                <w:ilvl w:val="0"/>
                <w:numId w:val="17"/>
              </w:numPr>
              <w:jc w:val="both"/>
              <w:rPr>
                <w:sz w:val="22"/>
                <w:szCs w:val="22"/>
              </w:rPr>
            </w:pPr>
            <w:r>
              <w:rPr>
                <w:sz w:val="22"/>
              </w:rPr>
              <w:t xml:space="preserve">разходите за подобряване на достъпа на обществеността до културната институция или обектите на културно наследство и дейности, включително разходите за </w:t>
            </w:r>
            <w:proofErr w:type="spellStart"/>
            <w:r>
              <w:rPr>
                <w:sz w:val="22"/>
              </w:rPr>
              <w:t>цифровизация</w:t>
            </w:r>
            <w:proofErr w:type="spellEnd"/>
            <w:r>
              <w:rPr>
                <w:sz w:val="22"/>
              </w:rPr>
              <w:t xml:space="preserve"> и за използване на нови технологии, както и разходите за подобряване на достъпността за лицата с увреждания;</w:t>
            </w:r>
          </w:p>
          <w:p w:rsidR="00AE3359" w:rsidRPr="000F52B9" w:rsidRDefault="00AE3359" w:rsidP="00AE3359">
            <w:pPr>
              <w:numPr>
                <w:ilvl w:val="0"/>
                <w:numId w:val="17"/>
              </w:numPr>
              <w:jc w:val="both"/>
              <w:rPr>
                <w:sz w:val="22"/>
                <w:szCs w:val="22"/>
              </w:rPr>
            </w:pPr>
            <w:r>
              <w:rPr>
                <w:sz w:val="22"/>
              </w:rPr>
              <w:t xml:space="preserve">оперативните разходи, пряко свързани с културния проект или дейност, като например наемане на недвижимо имущество и културни центрове, пътни разходи, материали и консумативи, пряко свързани с културния проект или дейност, архитектурни структури за изложби и сценични декори, заем, лизинг и амортизация на инструменти, софтуер и оборудване, разходи за право на достъп до произведения, защитени с авторско право, и съдържание, защитено с други сходни права на интелектуална собственост, разходи за реклама и разходи, възникнали като пряк резултат от проекта или дейността; амортизационните разходи </w:t>
            </w:r>
            <w:r>
              <w:rPr>
                <w:sz w:val="22"/>
              </w:rPr>
              <w:lastRenderedPageBreak/>
              <w:t>и разходите за финансиране са допустими само ако не са покрити с инвестиционна помощ;</w:t>
            </w:r>
          </w:p>
          <w:p w:rsidR="00AE3359" w:rsidRPr="000F52B9" w:rsidRDefault="00AE3359" w:rsidP="00AE3359">
            <w:pPr>
              <w:numPr>
                <w:ilvl w:val="0"/>
                <w:numId w:val="17"/>
              </w:numPr>
              <w:jc w:val="both"/>
              <w:rPr>
                <w:sz w:val="22"/>
                <w:szCs w:val="22"/>
              </w:rPr>
            </w:pPr>
            <w:r>
              <w:rPr>
                <w:sz w:val="22"/>
              </w:rPr>
              <w:t>разходите за персонал, работещ за културната институция или обекта на културно наследство или за проекта;</w:t>
            </w:r>
          </w:p>
          <w:p w:rsidR="00AE3359" w:rsidRPr="006C6F59" w:rsidRDefault="00AE3359" w:rsidP="001161D2">
            <w:pPr>
              <w:numPr>
                <w:ilvl w:val="0"/>
                <w:numId w:val="17"/>
              </w:numPr>
              <w:jc w:val="both"/>
              <w:rPr>
                <w:sz w:val="22"/>
                <w:szCs w:val="22"/>
              </w:rPr>
            </w:pPr>
            <w:r>
              <w:rPr>
                <w:sz w:val="22"/>
              </w:rPr>
              <w:t>разходите за консултантски услуги и помощни услуги, предоставяни от външни консултанти и доставчици на услуги, които са възникнали като пряк резултат от проекта.</w:t>
            </w: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117"/>
        </w:trPr>
        <w:tc>
          <w:tcPr>
            <w:tcW w:w="2687" w:type="pct"/>
            <w:shd w:val="clear" w:color="auto" w:fill="D9D9D9"/>
          </w:tcPr>
          <w:p w:rsidR="00AE3359" w:rsidRPr="001161D2" w:rsidRDefault="00AE3359" w:rsidP="001161D2">
            <w:pPr>
              <w:jc w:val="both"/>
              <w:rPr>
                <w:b/>
                <w:sz w:val="22"/>
                <w:szCs w:val="22"/>
              </w:rPr>
            </w:pPr>
            <w:r>
              <w:rPr>
                <w:b/>
                <w:sz w:val="22"/>
              </w:rPr>
              <w:lastRenderedPageBreak/>
              <w:t>Максимални интензитети на помощта</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7F64F0" w:rsidRDefault="00AE3359" w:rsidP="00AE3359">
            <w:pPr>
              <w:numPr>
                <w:ilvl w:val="0"/>
                <w:numId w:val="8"/>
              </w:numPr>
              <w:jc w:val="both"/>
              <w:rPr>
                <w:sz w:val="22"/>
                <w:szCs w:val="22"/>
              </w:rPr>
            </w:pPr>
            <w:r w:rsidRPr="007F64F0">
              <w:rPr>
                <w:b/>
                <w:sz w:val="22"/>
                <w:szCs w:val="22"/>
              </w:rPr>
              <w:t>За инвестиционните помощи размерът на помощта</w:t>
            </w:r>
            <w:r w:rsidRPr="007F64F0">
              <w:rPr>
                <w:sz w:val="22"/>
                <w:szCs w:val="22"/>
              </w:rPr>
              <w:t xml:space="preserve"> </w:t>
            </w:r>
            <w:r w:rsidRPr="007F64F0">
              <w:rPr>
                <w:b/>
                <w:sz w:val="22"/>
                <w:szCs w:val="22"/>
              </w:rPr>
              <w:t>не надхвърля</w:t>
            </w:r>
            <w:r w:rsidRPr="007F64F0">
              <w:rPr>
                <w:sz w:val="22"/>
                <w:szCs w:val="22"/>
              </w:rPr>
              <w:t xml:space="preserve"> разликата между допустимите разходи и оперативната печалба от инвестицията. Оперативната печалба се приспада от допустимите разходи предварително въз основа на реалистични предвиждания или чрез механизъм за възстановяване на средства. През съответния период е позволено операторът на инфраструктурата да задържа разумна печалба (параграф 6).</w:t>
            </w:r>
          </w:p>
          <w:p w:rsidR="00AE3359" w:rsidRPr="007F64F0" w:rsidRDefault="00AE3359" w:rsidP="00AE3359">
            <w:pPr>
              <w:numPr>
                <w:ilvl w:val="0"/>
                <w:numId w:val="8"/>
              </w:numPr>
              <w:jc w:val="both"/>
              <w:rPr>
                <w:sz w:val="22"/>
                <w:szCs w:val="22"/>
              </w:rPr>
            </w:pPr>
            <w:r w:rsidRPr="007F64F0">
              <w:rPr>
                <w:b/>
                <w:sz w:val="22"/>
                <w:szCs w:val="22"/>
              </w:rPr>
              <w:t>За оперативните помощи размерът на помощта не надхвърля</w:t>
            </w:r>
            <w:r w:rsidRPr="007F64F0">
              <w:rPr>
                <w:sz w:val="22"/>
                <w:szCs w:val="22"/>
              </w:rPr>
              <w:t xml:space="preserve"> необходимото за покриване на оперативната загуба и разумна печалба за съответния период. Изпълнението на това изискване се гарантира предварително въз основа на реалистични предвиждания или чрез механизъм за възстановяване на средства (параграф 7).</w:t>
            </w:r>
          </w:p>
          <w:p w:rsidR="00AE3359" w:rsidRPr="007F64F0" w:rsidRDefault="00AE3359" w:rsidP="00AE3359">
            <w:pPr>
              <w:numPr>
                <w:ilvl w:val="0"/>
                <w:numId w:val="8"/>
              </w:numPr>
              <w:jc w:val="both"/>
              <w:rPr>
                <w:sz w:val="22"/>
                <w:szCs w:val="22"/>
              </w:rPr>
            </w:pPr>
            <w:r w:rsidRPr="007F64F0">
              <w:rPr>
                <w:sz w:val="22"/>
                <w:szCs w:val="22"/>
              </w:rPr>
              <w:t xml:space="preserve">За </w:t>
            </w:r>
            <w:r w:rsidRPr="007F64F0">
              <w:rPr>
                <w:b/>
                <w:sz w:val="22"/>
                <w:szCs w:val="22"/>
              </w:rPr>
              <w:t>помощи, които не надхвърлят 1 милион евро</w:t>
            </w:r>
            <w:r w:rsidRPr="007F64F0">
              <w:rPr>
                <w:sz w:val="22"/>
                <w:szCs w:val="22"/>
              </w:rPr>
              <w:t xml:space="preserve">, максималният размер на помощта може да се определи по алтернативен метод, който се различава от </w:t>
            </w:r>
            <w:r w:rsidR="00A759D8">
              <w:rPr>
                <w:sz w:val="22"/>
                <w:szCs w:val="22"/>
              </w:rPr>
              <w:t>метода в параграфи 6 и 7, на 80</w:t>
            </w:r>
            <w:r w:rsidR="00A759D8">
              <w:rPr>
                <w:sz w:val="22"/>
                <w:szCs w:val="22"/>
                <w:lang w:val="en-GB"/>
              </w:rPr>
              <w:t> </w:t>
            </w:r>
            <w:r w:rsidRPr="007F64F0">
              <w:rPr>
                <w:sz w:val="22"/>
                <w:szCs w:val="22"/>
              </w:rPr>
              <w:t>% от допустимите разходи (параграф 8).</w:t>
            </w:r>
          </w:p>
          <w:p w:rsidR="00AE3359" w:rsidRPr="007F64F0" w:rsidRDefault="00AE3359" w:rsidP="00AE3359">
            <w:pPr>
              <w:numPr>
                <w:ilvl w:val="0"/>
                <w:numId w:val="8"/>
              </w:numPr>
              <w:jc w:val="both"/>
              <w:rPr>
                <w:sz w:val="22"/>
                <w:szCs w:val="22"/>
              </w:rPr>
            </w:pPr>
            <w:r w:rsidRPr="007F64F0">
              <w:rPr>
                <w:sz w:val="22"/>
                <w:szCs w:val="22"/>
              </w:rPr>
              <w:t xml:space="preserve">За </w:t>
            </w:r>
            <w:r w:rsidRPr="007F64F0">
              <w:rPr>
                <w:b/>
                <w:sz w:val="22"/>
                <w:szCs w:val="22"/>
              </w:rPr>
              <w:t>издаване на музика и литература</w:t>
            </w:r>
            <w:r w:rsidRPr="007F64F0">
              <w:rPr>
                <w:sz w:val="22"/>
                <w:szCs w:val="22"/>
              </w:rPr>
              <w:t xml:space="preserve"> съгласно определението в параграф 2, буква е) максималният размер на помощта не надхвърля разликата между допустимите разходи и сконтираните приходи по проекта или 70 % от допустимите разходи. Приходите се приспадат от допустимите разходи предварително или чрез механизъм за възстановяване на средства. Допустимите разходи са разходите за издаване на музикални и литературни произведения, включително авторските такси (разходите за авторски права), разходите за преводачи, разходите за издатели, други издателски разходи </w:t>
            </w:r>
            <w:r w:rsidRPr="007F64F0">
              <w:rPr>
                <w:sz w:val="22"/>
                <w:szCs w:val="22"/>
              </w:rPr>
              <w:lastRenderedPageBreak/>
              <w:t>(изчитане, коректура и рецензиране на текстове), разходите за форматиране и предпечатна подготовка и разходите за печат и публикуване в интернет (параграф 9).</w:t>
            </w:r>
          </w:p>
          <w:p w:rsidR="00AE3359" w:rsidRPr="00AE3359" w:rsidRDefault="00AE3359" w:rsidP="00AE3359">
            <w:pPr>
              <w:numPr>
                <w:ilvl w:val="0"/>
                <w:numId w:val="8"/>
              </w:numPr>
              <w:jc w:val="both"/>
              <w:rPr>
                <w:sz w:val="22"/>
                <w:szCs w:val="22"/>
              </w:rPr>
            </w:pPr>
            <w:r w:rsidRPr="007F64F0">
              <w:rPr>
                <w:b/>
                <w:sz w:val="22"/>
                <w:szCs w:val="22"/>
              </w:rPr>
              <w:t>Помощите за вестници и списания</w:t>
            </w:r>
            <w:r w:rsidRPr="007F64F0">
              <w:rPr>
                <w:sz w:val="22"/>
                <w:szCs w:val="22"/>
              </w:rPr>
              <w:t>, независимо от това дали те са в хартиен, или в електронен формат, не са допустими съгласно настоящия член (параграф 10).</w:t>
            </w:r>
          </w:p>
        </w:tc>
        <w:tc>
          <w:tcPr>
            <w:tcW w:w="2313" w:type="pct"/>
            <w:shd w:val="clear" w:color="auto" w:fill="auto"/>
          </w:tcPr>
          <w:p w:rsidR="00AE3359" w:rsidRPr="00AE3359" w:rsidRDefault="00AE3359" w:rsidP="00AE3359">
            <w:pPr>
              <w:rPr>
                <w:sz w:val="22"/>
                <w:szCs w:val="22"/>
              </w:rPr>
            </w:pPr>
          </w:p>
        </w:tc>
      </w:tr>
    </w:tbl>
    <w:p w:rsidR="00593387" w:rsidRPr="001161D2" w:rsidRDefault="00593387" w:rsidP="006C6F59">
      <w:pPr>
        <w:rPr>
          <w:sz w:val="22"/>
          <w:szCs w:val="22"/>
        </w:rPr>
      </w:pPr>
    </w:p>
    <w:p w:rsidR="009F52DA" w:rsidRPr="001161D2" w:rsidRDefault="009F52DA" w:rsidP="006C6F59">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RPr="001161D2" w:rsidTr="00895393">
        <w:tc>
          <w:tcPr>
            <w:tcW w:w="2602" w:type="pct"/>
            <w:shd w:val="clear" w:color="auto" w:fill="333399"/>
          </w:tcPr>
          <w:p w:rsidR="005A4C70" w:rsidRPr="001161D2" w:rsidRDefault="005A4C70" w:rsidP="001161D2">
            <w:pPr>
              <w:ind w:left="360"/>
              <w:jc w:val="center"/>
              <w:rPr>
                <w:b/>
                <w:smallCaps/>
                <w:color w:val="FFFFFF"/>
                <w:sz w:val="22"/>
                <w:szCs w:val="22"/>
              </w:rPr>
            </w:pPr>
            <w:r>
              <w:rPr>
                <w:b/>
                <w:smallCaps/>
                <w:color w:val="FFFFFF"/>
                <w:sz w:val="22"/>
              </w:rPr>
              <w:t>Член 54</w:t>
            </w:r>
          </w:p>
          <w:p w:rsidR="00BB080C" w:rsidRPr="001161D2" w:rsidRDefault="0007152F" w:rsidP="001161D2">
            <w:pPr>
              <w:ind w:left="360"/>
              <w:jc w:val="center"/>
              <w:rPr>
                <w:sz w:val="22"/>
                <w:szCs w:val="22"/>
              </w:rPr>
            </w:pPr>
            <w:r>
              <w:rPr>
                <w:b/>
                <w:smallCaps/>
                <w:color w:val="FFFFFF"/>
                <w:sz w:val="22"/>
              </w:rPr>
              <w:t>Схеми за помощ за аудио-визуални произведения</w:t>
            </w:r>
          </w:p>
        </w:tc>
        <w:tc>
          <w:tcPr>
            <w:tcW w:w="2398" w:type="pct"/>
            <w:shd w:val="clear" w:color="auto" w:fill="333399"/>
          </w:tcPr>
          <w:p w:rsidR="00BB080C" w:rsidRPr="001161D2" w:rsidRDefault="00BB080C" w:rsidP="001161D2">
            <w:pPr>
              <w:jc w:val="center"/>
              <w:rPr>
                <w:sz w:val="22"/>
                <w:szCs w:val="22"/>
              </w:rPr>
            </w:pPr>
            <w:r>
              <w:rPr>
                <w:b/>
                <w:smallCaps/>
                <w:color w:val="FFFFFF"/>
                <w:sz w:val="22"/>
              </w:rPr>
              <w:t>Проверка на съответствието (OK?)</w:t>
            </w:r>
          </w:p>
        </w:tc>
      </w:tr>
      <w:tr w:rsidR="002A54A1" w:rsidRPr="001161D2" w:rsidTr="00895393">
        <w:tc>
          <w:tcPr>
            <w:tcW w:w="2602" w:type="pct"/>
            <w:shd w:val="clear" w:color="auto" w:fill="auto"/>
          </w:tcPr>
          <w:p w:rsidR="002A54A1" w:rsidRPr="006C6F59" w:rsidRDefault="002A54A1" w:rsidP="002A54A1">
            <w:pPr>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98" w:type="pct"/>
            <w:shd w:val="clear" w:color="auto" w:fill="auto"/>
          </w:tcPr>
          <w:p w:rsidR="002A54A1" w:rsidRPr="006C6F59"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t>Субсидирани продукти</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754874" w:rsidRDefault="002A54A1" w:rsidP="002A54A1">
            <w:pPr>
              <w:numPr>
                <w:ilvl w:val="0"/>
                <w:numId w:val="9"/>
              </w:numPr>
              <w:jc w:val="both"/>
              <w:rPr>
                <w:sz w:val="22"/>
                <w:szCs w:val="22"/>
              </w:rPr>
            </w:pPr>
            <w:r w:rsidRPr="00754874">
              <w:rPr>
                <w:b/>
                <w:sz w:val="22"/>
                <w:szCs w:val="22"/>
              </w:rPr>
              <w:t>С помощите се подпомага културен продукт</w:t>
            </w:r>
            <w:r w:rsidRPr="00754874">
              <w:rPr>
                <w:sz w:val="22"/>
                <w:szCs w:val="22"/>
              </w:rPr>
              <w:t>. За да се избегнат очевидни грешки в квалифицирането на даден продукт като културен продукт, всяка държава членка предвижда ефективни процедури, например подбор на предложения от едно или повече лица, упълномощени да подбират или проверяват предложенията спрямо предварително определен списък с културни критерии (параграф 2).</w:t>
            </w:r>
          </w:p>
          <w:p w:rsidR="002A54A1" w:rsidRPr="001161D2" w:rsidRDefault="002A54A1" w:rsidP="001161D2">
            <w:pPr>
              <w:numPr>
                <w:ilvl w:val="0"/>
                <w:numId w:val="9"/>
              </w:numPr>
              <w:autoSpaceDE w:val="0"/>
              <w:autoSpaceDN w:val="0"/>
              <w:adjustRightInd w:val="0"/>
              <w:jc w:val="both"/>
              <w:rPr>
                <w:sz w:val="22"/>
                <w:szCs w:val="22"/>
              </w:rPr>
            </w:pPr>
            <w:r w:rsidRPr="00754874">
              <w:rPr>
                <w:sz w:val="22"/>
                <w:szCs w:val="22"/>
              </w:rPr>
              <w:t xml:space="preserve">Помощите </w:t>
            </w:r>
            <w:r w:rsidRPr="00754874">
              <w:rPr>
                <w:b/>
                <w:sz w:val="22"/>
                <w:szCs w:val="22"/>
              </w:rPr>
              <w:t>не са запазени за конкретни производствени дейности или за отделни части от веригата на стойността на продукцията</w:t>
            </w:r>
            <w:r w:rsidRPr="00754874">
              <w:rPr>
                <w:sz w:val="22"/>
                <w:szCs w:val="22"/>
              </w:rPr>
              <w:t>. Помощите за инфраструктура на филмови студия не са допустими по смисъла на настоящия член (параграф 9).</w:t>
            </w:r>
          </w:p>
        </w:tc>
        <w:tc>
          <w:tcPr>
            <w:tcW w:w="2398" w:type="pct"/>
            <w:shd w:val="clear" w:color="auto" w:fill="auto"/>
          </w:tcPr>
          <w:p w:rsidR="002A54A1" w:rsidRPr="001161D2"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t>Форма на помощта</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965D83" w:rsidRDefault="002A54A1" w:rsidP="002A54A1">
            <w:pPr>
              <w:numPr>
                <w:ilvl w:val="0"/>
                <w:numId w:val="10"/>
              </w:numPr>
              <w:jc w:val="both"/>
              <w:rPr>
                <w:sz w:val="22"/>
                <w:szCs w:val="22"/>
              </w:rPr>
            </w:pPr>
            <w:r>
              <w:rPr>
                <w:sz w:val="22"/>
              </w:rPr>
              <w:t xml:space="preserve">Помощта може да бъде под </w:t>
            </w:r>
            <w:r>
              <w:rPr>
                <w:b/>
                <w:sz w:val="22"/>
              </w:rPr>
              <w:t>формата</w:t>
            </w:r>
            <w:r>
              <w:rPr>
                <w:sz w:val="22"/>
              </w:rPr>
              <w:t xml:space="preserve"> на (параграф 3):</w:t>
            </w:r>
          </w:p>
          <w:p w:rsidR="002A54A1" w:rsidRPr="00965D83" w:rsidRDefault="002A54A1" w:rsidP="002A54A1">
            <w:pPr>
              <w:numPr>
                <w:ilvl w:val="0"/>
                <w:numId w:val="18"/>
              </w:numPr>
              <w:jc w:val="both"/>
              <w:rPr>
                <w:sz w:val="22"/>
                <w:szCs w:val="22"/>
              </w:rPr>
            </w:pPr>
            <w:r>
              <w:rPr>
                <w:sz w:val="22"/>
              </w:rPr>
              <w:t>помощ за производството на аудио-визуални произведения;</w:t>
            </w:r>
          </w:p>
          <w:p w:rsidR="002A54A1" w:rsidRPr="00965D83" w:rsidRDefault="002A54A1" w:rsidP="002A54A1">
            <w:pPr>
              <w:numPr>
                <w:ilvl w:val="0"/>
                <w:numId w:val="18"/>
              </w:numPr>
              <w:jc w:val="both"/>
              <w:rPr>
                <w:sz w:val="22"/>
                <w:szCs w:val="22"/>
              </w:rPr>
            </w:pPr>
            <w:r>
              <w:rPr>
                <w:sz w:val="22"/>
              </w:rPr>
              <w:t xml:space="preserve">помощ на </w:t>
            </w:r>
            <w:proofErr w:type="spellStart"/>
            <w:r>
              <w:rPr>
                <w:sz w:val="22"/>
              </w:rPr>
              <w:t>предпроизводствен</w:t>
            </w:r>
            <w:proofErr w:type="spellEnd"/>
            <w:r>
              <w:rPr>
                <w:sz w:val="22"/>
              </w:rPr>
              <w:t xml:space="preserve"> етап; </w:t>
            </w:r>
          </w:p>
          <w:p w:rsidR="002A54A1" w:rsidRPr="006C6F59" w:rsidRDefault="002A54A1" w:rsidP="001161D2">
            <w:pPr>
              <w:numPr>
                <w:ilvl w:val="0"/>
                <w:numId w:val="18"/>
              </w:numPr>
              <w:jc w:val="both"/>
              <w:rPr>
                <w:sz w:val="22"/>
                <w:szCs w:val="22"/>
              </w:rPr>
            </w:pPr>
            <w:r>
              <w:rPr>
                <w:sz w:val="22"/>
              </w:rPr>
              <w:t>помощ за разпространение.</w:t>
            </w:r>
          </w:p>
        </w:tc>
        <w:tc>
          <w:tcPr>
            <w:tcW w:w="2398" w:type="pct"/>
            <w:shd w:val="clear" w:color="auto" w:fill="auto"/>
          </w:tcPr>
          <w:p w:rsidR="002A54A1" w:rsidRPr="006C6F59"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t>Спазване на правилата на вътрешния пазар</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0F52B9" w:rsidRDefault="002A54A1" w:rsidP="002A54A1">
            <w:pPr>
              <w:numPr>
                <w:ilvl w:val="0"/>
                <w:numId w:val="10"/>
              </w:numPr>
              <w:autoSpaceDE w:val="0"/>
              <w:autoSpaceDN w:val="0"/>
              <w:adjustRightInd w:val="0"/>
              <w:jc w:val="both"/>
              <w:rPr>
                <w:sz w:val="22"/>
                <w:szCs w:val="22"/>
              </w:rPr>
            </w:pPr>
            <w:r>
              <w:rPr>
                <w:sz w:val="22"/>
              </w:rPr>
              <w:t xml:space="preserve">Когато държава членка обвърже помощта със задължения за </w:t>
            </w:r>
            <w:proofErr w:type="spellStart"/>
            <w:r>
              <w:rPr>
                <w:b/>
                <w:sz w:val="22"/>
              </w:rPr>
              <w:lastRenderedPageBreak/>
              <w:t>териториалност</w:t>
            </w:r>
            <w:proofErr w:type="spellEnd"/>
            <w:r>
              <w:rPr>
                <w:b/>
                <w:sz w:val="22"/>
              </w:rPr>
              <w:t xml:space="preserve"> на разходите</w:t>
            </w:r>
            <w:r>
              <w:rPr>
                <w:sz w:val="22"/>
              </w:rPr>
              <w:t>, при схемите за помощи за производство на аудио-визуални произведения може (параграф 4):</w:t>
            </w:r>
          </w:p>
          <w:p w:rsidR="002A54A1" w:rsidRPr="000F52B9" w:rsidRDefault="00A759D8" w:rsidP="002A54A1">
            <w:pPr>
              <w:numPr>
                <w:ilvl w:val="0"/>
                <w:numId w:val="19"/>
              </w:numPr>
              <w:autoSpaceDE w:val="0"/>
              <w:autoSpaceDN w:val="0"/>
              <w:adjustRightInd w:val="0"/>
              <w:jc w:val="both"/>
              <w:rPr>
                <w:sz w:val="22"/>
                <w:szCs w:val="22"/>
              </w:rPr>
            </w:pPr>
            <w:r>
              <w:rPr>
                <w:sz w:val="22"/>
              </w:rPr>
              <w:t>да се изисква до 160</w:t>
            </w:r>
            <w:r>
              <w:rPr>
                <w:sz w:val="22"/>
                <w:lang w:val="en-GB"/>
              </w:rPr>
              <w:t> </w:t>
            </w:r>
            <w:r w:rsidR="002A54A1">
              <w:rPr>
                <w:sz w:val="22"/>
              </w:rPr>
              <w:t>% от помощта, предоставена за производството на дадено аудио-визуално произведение, да бъдат изразходвани на територията на държавата членка, която отпуска помощта; или</w:t>
            </w:r>
          </w:p>
          <w:p w:rsidR="002A54A1" w:rsidRPr="000F52B9" w:rsidRDefault="002A54A1" w:rsidP="002A54A1">
            <w:pPr>
              <w:numPr>
                <w:ilvl w:val="0"/>
                <w:numId w:val="19"/>
              </w:numPr>
              <w:autoSpaceDE w:val="0"/>
              <w:autoSpaceDN w:val="0"/>
              <w:adjustRightInd w:val="0"/>
              <w:jc w:val="both"/>
              <w:rPr>
                <w:sz w:val="22"/>
                <w:szCs w:val="22"/>
              </w:rPr>
            </w:pPr>
            <w:r>
              <w:rPr>
                <w:sz w:val="22"/>
              </w:rPr>
              <w:t>помощта, предоставена за производството на дадено аудио-визуално произведение, да бъде изчислена като процент от разходите за производствени дейности в държавата членка, предоставяща помощта, обикновено в случай на схеми за помощ под формата на данъчни стимули.</w:t>
            </w:r>
          </w:p>
          <w:p w:rsidR="002A54A1" w:rsidRDefault="002A54A1" w:rsidP="001161D2">
            <w:pPr>
              <w:autoSpaceDE w:val="0"/>
              <w:autoSpaceDN w:val="0"/>
              <w:adjustRightInd w:val="0"/>
              <w:ind w:left="360"/>
              <w:jc w:val="both"/>
              <w:rPr>
                <w:sz w:val="22"/>
                <w:szCs w:val="22"/>
              </w:rPr>
            </w:pPr>
            <w:r>
              <w:rPr>
                <w:sz w:val="22"/>
              </w:rPr>
              <w:t xml:space="preserve">И в двата случая, ако държавата членка обвърже допустимостта на проектите с минимално равнище на производствена дейност на съответната територия, това равнище не надхвърля 50 % от общия бюджет на продукцията. Освен това максималните разходи, обвързани със задължения за </w:t>
            </w:r>
            <w:proofErr w:type="spellStart"/>
            <w:r>
              <w:rPr>
                <w:sz w:val="22"/>
              </w:rPr>
              <w:t>териториалност</w:t>
            </w:r>
            <w:proofErr w:type="spellEnd"/>
            <w:r>
              <w:rPr>
                <w:sz w:val="22"/>
              </w:rPr>
              <w:t xml:space="preserve"> на разходите, в никакъв случай не надхвърлят 80 % от общия бюджет на продукцията. </w:t>
            </w:r>
          </w:p>
          <w:p w:rsidR="002A54A1" w:rsidRPr="00463D75" w:rsidRDefault="002A54A1" w:rsidP="001161D2">
            <w:pPr>
              <w:numPr>
                <w:ilvl w:val="0"/>
                <w:numId w:val="10"/>
              </w:numPr>
              <w:jc w:val="both"/>
              <w:rPr>
                <w:spacing w:val="-4"/>
                <w:sz w:val="22"/>
                <w:szCs w:val="22"/>
              </w:rPr>
            </w:pPr>
            <w:r w:rsidRPr="00463D75">
              <w:rPr>
                <w:spacing w:val="-4"/>
                <w:sz w:val="22"/>
              </w:rPr>
              <w:t xml:space="preserve">Помощите </w:t>
            </w:r>
            <w:r w:rsidRPr="00463D75">
              <w:rPr>
                <w:b/>
                <w:spacing w:val="-4"/>
                <w:sz w:val="22"/>
              </w:rPr>
              <w:t>не са запазени изключително за гражданите на съответната държава</w:t>
            </w:r>
            <w:r w:rsidRPr="00463D75">
              <w:rPr>
                <w:spacing w:val="-4"/>
                <w:sz w:val="22"/>
              </w:rPr>
              <w:t xml:space="preserve"> и от </w:t>
            </w:r>
            <w:proofErr w:type="spellStart"/>
            <w:r w:rsidRPr="00463D75">
              <w:rPr>
                <w:spacing w:val="-4"/>
                <w:sz w:val="22"/>
              </w:rPr>
              <w:t>бенефициерите</w:t>
            </w:r>
            <w:proofErr w:type="spellEnd"/>
            <w:r w:rsidRPr="00463D75">
              <w:rPr>
                <w:spacing w:val="-4"/>
                <w:sz w:val="22"/>
              </w:rPr>
              <w:t xml:space="preserve"> не се изисква да имат статут на предприятия, учредени по националното търговско право (параграф 10).</w:t>
            </w:r>
          </w:p>
        </w:tc>
        <w:tc>
          <w:tcPr>
            <w:tcW w:w="2398" w:type="pct"/>
            <w:shd w:val="clear" w:color="auto" w:fill="auto"/>
          </w:tcPr>
          <w:p w:rsidR="002A54A1" w:rsidRPr="006C6F59"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lastRenderedPageBreak/>
              <w:t>Допустими разходи</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B83A4A" w:rsidRDefault="002A54A1" w:rsidP="002A54A1">
            <w:pPr>
              <w:numPr>
                <w:ilvl w:val="0"/>
                <w:numId w:val="10"/>
              </w:numPr>
              <w:autoSpaceDE w:val="0"/>
              <w:autoSpaceDN w:val="0"/>
              <w:adjustRightInd w:val="0"/>
              <w:jc w:val="both"/>
              <w:rPr>
                <w:sz w:val="22"/>
                <w:szCs w:val="22"/>
              </w:rPr>
            </w:pPr>
            <w:r>
              <w:rPr>
                <w:b/>
                <w:sz w:val="22"/>
              </w:rPr>
              <w:t xml:space="preserve">Допустими </w:t>
            </w:r>
            <w:r>
              <w:rPr>
                <w:sz w:val="22"/>
              </w:rPr>
              <w:t xml:space="preserve">са следните разходи (параграф 5): </w:t>
            </w:r>
          </w:p>
          <w:p w:rsidR="002A54A1" w:rsidRPr="00B83A4A" w:rsidRDefault="002A54A1" w:rsidP="002A54A1">
            <w:pPr>
              <w:numPr>
                <w:ilvl w:val="0"/>
                <w:numId w:val="20"/>
              </w:numPr>
              <w:autoSpaceDE w:val="0"/>
              <w:autoSpaceDN w:val="0"/>
              <w:adjustRightInd w:val="0"/>
              <w:jc w:val="both"/>
              <w:rPr>
                <w:sz w:val="22"/>
                <w:szCs w:val="22"/>
              </w:rPr>
            </w:pPr>
            <w:r>
              <w:rPr>
                <w:sz w:val="22"/>
              </w:rPr>
              <w:t>за производствени помощи: общите разходи за производство на аудио-визуални произведения, включително разходите за подобряване на достъпността за лица с увреждания;</w:t>
            </w:r>
          </w:p>
          <w:p w:rsidR="002A54A1" w:rsidRPr="00B83A4A" w:rsidRDefault="002A54A1" w:rsidP="002A54A1">
            <w:pPr>
              <w:numPr>
                <w:ilvl w:val="0"/>
                <w:numId w:val="20"/>
              </w:numPr>
              <w:autoSpaceDE w:val="0"/>
              <w:autoSpaceDN w:val="0"/>
              <w:adjustRightInd w:val="0"/>
              <w:jc w:val="both"/>
              <w:rPr>
                <w:sz w:val="22"/>
                <w:szCs w:val="22"/>
              </w:rPr>
            </w:pPr>
            <w:r>
              <w:rPr>
                <w:sz w:val="22"/>
              </w:rPr>
              <w:t xml:space="preserve">за помощи на </w:t>
            </w:r>
            <w:proofErr w:type="spellStart"/>
            <w:r>
              <w:rPr>
                <w:sz w:val="22"/>
              </w:rPr>
              <w:t>предпроизводствен</w:t>
            </w:r>
            <w:proofErr w:type="spellEnd"/>
            <w:r>
              <w:rPr>
                <w:sz w:val="22"/>
              </w:rPr>
              <w:t xml:space="preserve"> етап: разходите за писане на сценарии и създаване на аудио-визуални произведения;</w:t>
            </w:r>
          </w:p>
          <w:p w:rsidR="002A54A1" w:rsidRPr="001161D2" w:rsidRDefault="002A54A1" w:rsidP="001161D2">
            <w:pPr>
              <w:numPr>
                <w:ilvl w:val="0"/>
                <w:numId w:val="20"/>
              </w:numPr>
              <w:autoSpaceDE w:val="0"/>
              <w:autoSpaceDN w:val="0"/>
              <w:adjustRightInd w:val="0"/>
              <w:jc w:val="both"/>
              <w:rPr>
                <w:sz w:val="22"/>
                <w:szCs w:val="22"/>
              </w:rPr>
            </w:pPr>
            <w:r>
              <w:rPr>
                <w:sz w:val="22"/>
              </w:rPr>
              <w:t>за помощи за разпространение: разходите за разпространение и популяризиране на аудио-визуални произведения.</w:t>
            </w:r>
          </w:p>
        </w:tc>
        <w:tc>
          <w:tcPr>
            <w:tcW w:w="2398" w:type="pct"/>
            <w:shd w:val="clear" w:color="auto" w:fill="auto"/>
          </w:tcPr>
          <w:p w:rsidR="002A54A1" w:rsidRPr="001161D2" w:rsidRDefault="002A54A1" w:rsidP="00AE3359">
            <w:pPr>
              <w:rPr>
                <w:sz w:val="22"/>
                <w:szCs w:val="22"/>
              </w:rPr>
            </w:pPr>
          </w:p>
        </w:tc>
      </w:tr>
      <w:tr w:rsidR="002A54A1" w:rsidRPr="001161D2" w:rsidTr="001161D2">
        <w:tc>
          <w:tcPr>
            <w:tcW w:w="2602" w:type="pct"/>
            <w:shd w:val="clear" w:color="auto" w:fill="D9D9D9"/>
          </w:tcPr>
          <w:p w:rsidR="002A54A1" w:rsidRPr="006C6F59" w:rsidRDefault="006C6F59" w:rsidP="002A54A1">
            <w:pPr>
              <w:jc w:val="both"/>
              <w:rPr>
                <w:sz w:val="22"/>
                <w:szCs w:val="22"/>
              </w:rPr>
            </w:pPr>
            <w:r>
              <w:rPr>
                <w:b/>
                <w:sz w:val="22"/>
              </w:rPr>
              <w:t>Интензитет на помощта</w:t>
            </w:r>
          </w:p>
        </w:tc>
        <w:tc>
          <w:tcPr>
            <w:tcW w:w="2398" w:type="pct"/>
            <w:shd w:val="clear" w:color="auto" w:fill="D9D9D9"/>
          </w:tcPr>
          <w:p w:rsidR="002A54A1" w:rsidRPr="006C6F59" w:rsidRDefault="002A54A1" w:rsidP="00AE3359">
            <w:pPr>
              <w:rPr>
                <w:sz w:val="22"/>
                <w:szCs w:val="22"/>
              </w:rPr>
            </w:pPr>
          </w:p>
        </w:tc>
      </w:tr>
      <w:tr w:rsidR="002A54A1" w:rsidRPr="001161D2" w:rsidTr="00895393">
        <w:tc>
          <w:tcPr>
            <w:tcW w:w="2602" w:type="pct"/>
            <w:shd w:val="clear" w:color="auto" w:fill="auto"/>
          </w:tcPr>
          <w:p w:rsidR="006C6F59" w:rsidRPr="009B62D2" w:rsidRDefault="006C6F59" w:rsidP="006C6F59">
            <w:pPr>
              <w:numPr>
                <w:ilvl w:val="0"/>
                <w:numId w:val="10"/>
              </w:numPr>
              <w:autoSpaceDE w:val="0"/>
              <w:autoSpaceDN w:val="0"/>
              <w:adjustRightInd w:val="0"/>
              <w:jc w:val="both"/>
              <w:rPr>
                <w:sz w:val="22"/>
                <w:szCs w:val="22"/>
              </w:rPr>
            </w:pPr>
            <w:r>
              <w:rPr>
                <w:b/>
                <w:sz w:val="22"/>
              </w:rPr>
              <w:t>Интензитетът на помощта</w:t>
            </w:r>
            <w:r>
              <w:rPr>
                <w:sz w:val="22"/>
              </w:rPr>
              <w:t xml:space="preserve"> за производството на аудио-визуал</w:t>
            </w:r>
            <w:r w:rsidR="00A759D8">
              <w:rPr>
                <w:sz w:val="22"/>
              </w:rPr>
              <w:t>ни произведения не надхвърля 50</w:t>
            </w:r>
            <w:r w:rsidR="00A759D8">
              <w:rPr>
                <w:sz w:val="22"/>
                <w:lang w:val="en-GB"/>
              </w:rPr>
              <w:t> </w:t>
            </w:r>
            <w:r>
              <w:rPr>
                <w:sz w:val="22"/>
              </w:rPr>
              <w:t>% от допустимите разходи (параграф 6).</w:t>
            </w:r>
          </w:p>
          <w:p w:rsidR="006C6F59" w:rsidRPr="004671F8" w:rsidRDefault="006C6F59" w:rsidP="006C6F59">
            <w:pPr>
              <w:numPr>
                <w:ilvl w:val="0"/>
                <w:numId w:val="10"/>
              </w:numPr>
              <w:autoSpaceDE w:val="0"/>
              <w:autoSpaceDN w:val="0"/>
              <w:adjustRightInd w:val="0"/>
              <w:jc w:val="both"/>
              <w:rPr>
                <w:sz w:val="22"/>
                <w:szCs w:val="22"/>
              </w:rPr>
            </w:pPr>
            <w:r w:rsidRPr="004671F8">
              <w:rPr>
                <w:b/>
                <w:sz w:val="22"/>
                <w:szCs w:val="22"/>
              </w:rPr>
              <w:lastRenderedPageBreak/>
              <w:t>Допълнителен интензитет:</w:t>
            </w:r>
            <w:r w:rsidRPr="004671F8">
              <w:rPr>
                <w:sz w:val="22"/>
                <w:szCs w:val="22"/>
              </w:rPr>
              <w:t xml:space="preserve"> интензитетът на помощта може да бъде увеличен, както следва (параграф 7):</w:t>
            </w:r>
          </w:p>
          <w:p w:rsidR="006C6F59" w:rsidRPr="004671F8" w:rsidRDefault="006C6F59" w:rsidP="006C6F59">
            <w:pPr>
              <w:numPr>
                <w:ilvl w:val="0"/>
                <w:numId w:val="21"/>
              </w:numPr>
              <w:autoSpaceDE w:val="0"/>
              <w:autoSpaceDN w:val="0"/>
              <w:adjustRightInd w:val="0"/>
              <w:jc w:val="both"/>
              <w:rPr>
                <w:sz w:val="22"/>
                <w:szCs w:val="22"/>
              </w:rPr>
            </w:pPr>
            <w:r w:rsidRPr="004671F8">
              <w:rPr>
                <w:sz w:val="22"/>
                <w:szCs w:val="22"/>
              </w:rPr>
              <w:t>до 60 % от допустимите разходи за трансгранични продукции, които са финансирани от повече от една държава членка и в които участват продуценти от повече от една държава членка;</w:t>
            </w:r>
          </w:p>
          <w:p w:rsidR="006C6F59" w:rsidRPr="004671F8" w:rsidRDefault="00A759D8" w:rsidP="006C6F59">
            <w:pPr>
              <w:numPr>
                <w:ilvl w:val="0"/>
                <w:numId w:val="21"/>
              </w:numPr>
              <w:autoSpaceDE w:val="0"/>
              <w:autoSpaceDN w:val="0"/>
              <w:adjustRightInd w:val="0"/>
              <w:jc w:val="both"/>
              <w:rPr>
                <w:sz w:val="22"/>
                <w:szCs w:val="22"/>
              </w:rPr>
            </w:pPr>
            <w:r>
              <w:rPr>
                <w:sz w:val="22"/>
                <w:szCs w:val="22"/>
              </w:rPr>
              <w:t>до 100</w:t>
            </w:r>
            <w:r>
              <w:rPr>
                <w:sz w:val="22"/>
                <w:szCs w:val="22"/>
                <w:lang w:val="en-GB"/>
              </w:rPr>
              <w:t> </w:t>
            </w:r>
            <w:r w:rsidR="006C6F59" w:rsidRPr="004671F8">
              <w:rPr>
                <w:sz w:val="22"/>
                <w:szCs w:val="22"/>
              </w:rPr>
              <w:t>% от допустимите разходи за трудни аудио-визуални произведения и съвместни продукции с участието на държави от списъка на Комитета за подпомагане на развитието на Организацията за икономическо сътрудничество и развитие (ОИСР/КПР).</w:t>
            </w:r>
          </w:p>
          <w:p w:rsidR="002A54A1" w:rsidRPr="001161D2" w:rsidRDefault="006C6F59" w:rsidP="001161D2">
            <w:pPr>
              <w:numPr>
                <w:ilvl w:val="0"/>
                <w:numId w:val="11"/>
              </w:numPr>
              <w:autoSpaceDE w:val="0"/>
              <w:autoSpaceDN w:val="0"/>
              <w:adjustRightInd w:val="0"/>
              <w:jc w:val="both"/>
              <w:rPr>
                <w:sz w:val="22"/>
                <w:szCs w:val="22"/>
              </w:rPr>
            </w:pPr>
            <w:r w:rsidRPr="004671F8">
              <w:rPr>
                <w:b/>
                <w:sz w:val="22"/>
                <w:szCs w:val="22"/>
              </w:rPr>
              <w:t>Интензитетът на помощта</w:t>
            </w:r>
            <w:r w:rsidRPr="004671F8">
              <w:rPr>
                <w:sz w:val="22"/>
                <w:szCs w:val="22"/>
              </w:rPr>
              <w:t xml:space="preserve"> за </w:t>
            </w:r>
            <w:proofErr w:type="spellStart"/>
            <w:r w:rsidRPr="004671F8">
              <w:rPr>
                <w:sz w:val="22"/>
                <w:szCs w:val="22"/>
              </w:rPr>
              <w:t>предпроизводствения</w:t>
            </w:r>
            <w:proofErr w:type="spellEnd"/>
            <w:r w:rsidRPr="004671F8">
              <w:rPr>
                <w:sz w:val="22"/>
                <w:szCs w:val="22"/>
              </w:rPr>
              <w:t xml:space="preserve"> етап не надхвърля 100 % от допустимите разходи. Ако създаденият благодарение на помощта сценарий или проект се превърне в аудио-визуално произведение, като например филм, </w:t>
            </w:r>
            <w:proofErr w:type="spellStart"/>
            <w:r w:rsidRPr="004671F8">
              <w:rPr>
                <w:sz w:val="22"/>
                <w:szCs w:val="22"/>
              </w:rPr>
              <w:t>предпроизводствените</w:t>
            </w:r>
            <w:proofErr w:type="spellEnd"/>
            <w:r w:rsidRPr="004671F8">
              <w:rPr>
                <w:sz w:val="22"/>
                <w:szCs w:val="22"/>
              </w:rPr>
              <w:t xml:space="preserve"> разходи се включват в общия бюджет и се вземат предвид при изчисляването на интензитета на помощта. Интензитетът на помощта за разпространение съответства на интензитета на помощта за производство (параграф 8).</w:t>
            </w:r>
          </w:p>
        </w:tc>
        <w:tc>
          <w:tcPr>
            <w:tcW w:w="2398" w:type="pct"/>
            <w:shd w:val="clear" w:color="auto" w:fill="auto"/>
          </w:tcPr>
          <w:p w:rsidR="002A54A1" w:rsidRPr="001161D2" w:rsidRDefault="002A54A1" w:rsidP="00AE3359">
            <w:pPr>
              <w:rPr>
                <w:sz w:val="22"/>
                <w:szCs w:val="22"/>
              </w:rPr>
            </w:pPr>
          </w:p>
        </w:tc>
      </w:tr>
    </w:tbl>
    <w:p w:rsidR="00A67375" w:rsidRPr="001161D2" w:rsidRDefault="00A67375" w:rsidP="00AE3359">
      <w:pPr>
        <w:rPr>
          <w:sz w:val="22"/>
          <w:szCs w:val="22"/>
        </w:rPr>
      </w:pPr>
    </w:p>
    <w:sectPr w:rsidR="00A67375" w:rsidRPr="001161D2" w:rsidSect="006C6BED">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63" w:rsidRDefault="00D63563">
      <w:r>
        <w:separator/>
      </w:r>
    </w:p>
  </w:endnote>
  <w:endnote w:type="continuationSeparator" w:id="0">
    <w:p w:rsidR="00D63563" w:rsidRDefault="00D6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ED" w:rsidRDefault="006C6BED" w:rsidP="006C6BED">
    <w:pPr>
      <w:pStyle w:val="Footer"/>
      <w:jc w:val="right"/>
    </w:pPr>
    <w:r>
      <w:fldChar w:fldCharType="begin"/>
    </w:r>
    <w:r>
      <w:instrText xml:space="preserve"> PAGE   \* MERGEFORMAT </w:instrText>
    </w:r>
    <w:r>
      <w:fldChar w:fldCharType="separate"/>
    </w:r>
    <w:r w:rsidR="009C37A2">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ED" w:rsidRPr="006C6BED" w:rsidRDefault="006C6BED">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63" w:rsidRDefault="00D63563">
      <w:r>
        <w:separator/>
      </w:r>
    </w:p>
  </w:footnote>
  <w:footnote w:type="continuationSeparator" w:id="0">
    <w:p w:rsidR="00D63563" w:rsidRDefault="00D6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1B" w:rsidRDefault="0063341B" w:rsidP="0063341B">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63341B" w:rsidRDefault="0063341B" w:rsidP="0063341B">
    <w:pPr>
      <w:autoSpaceDE w:val="0"/>
      <w:autoSpaceDN w:val="0"/>
      <w:ind w:right="-567"/>
      <w:jc w:val="both"/>
      <w:rPr>
        <w:b/>
        <w:bCs/>
        <w:noProof/>
        <w:snapToGrid w:val="0"/>
        <w:color w:val="000000"/>
        <w:u w:val="single"/>
      </w:rPr>
    </w:pPr>
  </w:p>
  <w:p w:rsidR="0063341B" w:rsidRDefault="0063341B" w:rsidP="0063341B">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831AE9" w:rsidRDefault="00831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ED" w:rsidRDefault="006C6BED" w:rsidP="006C6BED">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6C6BED" w:rsidRDefault="006C6BED" w:rsidP="006C6BED">
    <w:pPr>
      <w:autoSpaceDE w:val="0"/>
      <w:autoSpaceDN w:val="0"/>
      <w:ind w:right="-567"/>
      <w:jc w:val="both"/>
      <w:rPr>
        <w:b/>
        <w:bCs/>
        <w:noProof/>
        <w:snapToGrid w:val="0"/>
        <w:color w:val="000000"/>
        <w:u w:val="single"/>
      </w:rPr>
    </w:pPr>
  </w:p>
  <w:p w:rsidR="006C6BED" w:rsidRDefault="006C6BED" w:rsidP="006C6BED">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6C6BED" w:rsidRDefault="006C6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9165AD"/>
    <w:multiLevelType w:val="hybridMultilevel"/>
    <w:tmpl w:val="81ECD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DB62E5"/>
    <w:multiLevelType w:val="hybridMultilevel"/>
    <w:tmpl w:val="5E06A252"/>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D640A1"/>
    <w:multiLevelType w:val="hybridMultilevel"/>
    <w:tmpl w:val="882A3CF2"/>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05199"/>
    <w:multiLevelType w:val="hybridMultilevel"/>
    <w:tmpl w:val="7F520892"/>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20A9F"/>
    <w:multiLevelType w:val="hybridMultilevel"/>
    <w:tmpl w:val="DE54DA50"/>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B6DDA"/>
    <w:multiLevelType w:val="hybridMultilevel"/>
    <w:tmpl w:val="2848A91C"/>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420C27"/>
    <w:multiLevelType w:val="hybridMultilevel"/>
    <w:tmpl w:val="8B4A0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282508"/>
    <w:multiLevelType w:val="hybridMultilevel"/>
    <w:tmpl w:val="714268AA"/>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EB33AA"/>
    <w:multiLevelType w:val="hybridMultilevel"/>
    <w:tmpl w:val="2534B65E"/>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B01367"/>
    <w:multiLevelType w:val="hybridMultilevel"/>
    <w:tmpl w:val="79EA7ADE"/>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FE40C4"/>
    <w:multiLevelType w:val="hybridMultilevel"/>
    <w:tmpl w:val="BB60D1BA"/>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47C67"/>
    <w:multiLevelType w:val="hybridMultilevel"/>
    <w:tmpl w:val="EF0C3F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8"/>
  </w:num>
  <w:num w:numId="4">
    <w:abstractNumId w:val="3"/>
  </w:num>
  <w:num w:numId="5">
    <w:abstractNumId w:val="19"/>
  </w:num>
  <w:num w:numId="6">
    <w:abstractNumId w:val="0"/>
  </w:num>
  <w:num w:numId="7">
    <w:abstractNumId w:val="12"/>
  </w:num>
  <w:num w:numId="8">
    <w:abstractNumId w:val="11"/>
  </w:num>
  <w:num w:numId="9">
    <w:abstractNumId w:val="4"/>
  </w:num>
  <w:num w:numId="10">
    <w:abstractNumId w:val="1"/>
  </w:num>
  <w:num w:numId="11">
    <w:abstractNumId w:val="20"/>
  </w:num>
  <w:num w:numId="12">
    <w:abstractNumId w:val="13"/>
  </w:num>
  <w:num w:numId="13">
    <w:abstractNumId w:val="23"/>
  </w:num>
  <w:num w:numId="14">
    <w:abstractNumId w:val="17"/>
  </w:num>
  <w:num w:numId="15">
    <w:abstractNumId w:val="5"/>
  </w:num>
  <w:num w:numId="16">
    <w:abstractNumId w:val="7"/>
  </w:num>
  <w:num w:numId="17">
    <w:abstractNumId w:val="10"/>
  </w:num>
  <w:num w:numId="18">
    <w:abstractNumId w:val="18"/>
  </w:num>
  <w:num w:numId="19">
    <w:abstractNumId w:val="6"/>
  </w:num>
  <w:num w:numId="20">
    <w:abstractNumId w:val="16"/>
  </w:num>
  <w:num w:numId="21">
    <w:abstractNumId w:val="22"/>
  </w:num>
  <w:num w:numId="22">
    <w:abstractNumId w:val="15"/>
  </w:num>
  <w:num w:numId="23">
    <w:abstractNumId w:val="2"/>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307FC"/>
    <w:rsid w:val="000372A4"/>
    <w:rsid w:val="0004275D"/>
    <w:rsid w:val="00045763"/>
    <w:rsid w:val="00045C91"/>
    <w:rsid w:val="00047DB1"/>
    <w:rsid w:val="000550A4"/>
    <w:rsid w:val="00063A0A"/>
    <w:rsid w:val="00066155"/>
    <w:rsid w:val="0007152F"/>
    <w:rsid w:val="000729AA"/>
    <w:rsid w:val="0007352F"/>
    <w:rsid w:val="0007495E"/>
    <w:rsid w:val="00085359"/>
    <w:rsid w:val="000934FB"/>
    <w:rsid w:val="000969AA"/>
    <w:rsid w:val="0009762A"/>
    <w:rsid w:val="000A0383"/>
    <w:rsid w:val="000A19E8"/>
    <w:rsid w:val="000A2636"/>
    <w:rsid w:val="000A3DE5"/>
    <w:rsid w:val="000B0A2E"/>
    <w:rsid w:val="000B0C62"/>
    <w:rsid w:val="000C51C2"/>
    <w:rsid w:val="000E10AB"/>
    <w:rsid w:val="000E4DAE"/>
    <w:rsid w:val="000F1FCD"/>
    <w:rsid w:val="000F2C08"/>
    <w:rsid w:val="000F75EF"/>
    <w:rsid w:val="00105B2C"/>
    <w:rsid w:val="00106373"/>
    <w:rsid w:val="001161D2"/>
    <w:rsid w:val="0012665D"/>
    <w:rsid w:val="0013556A"/>
    <w:rsid w:val="00176DBE"/>
    <w:rsid w:val="00180EAA"/>
    <w:rsid w:val="001B05F1"/>
    <w:rsid w:val="001C08C9"/>
    <w:rsid w:val="001C0C3A"/>
    <w:rsid w:val="001C29C1"/>
    <w:rsid w:val="001D0FD1"/>
    <w:rsid w:val="001F344E"/>
    <w:rsid w:val="001F48D0"/>
    <w:rsid w:val="0020708C"/>
    <w:rsid w:val="00221B84"/>
    <w:rsid w:val="00222F1C"/>
    <w:rsid w:val="00231010"/>
    <w:rsid w:val="00231553"/>
    <w:rsid w:val="002427AF"/>
    <w:rsid w:val="002470A3"/>
    <w:rsid w:val="00275069"/>
    <w:rsid w:val="00285D6F"/>
    <w:rsid w:val="002905A3"/>
    <w:rsid w:val="00291068"/>
    <w:rsid w:val="002920BD"/>
    <w:rsid w:val="00293736"/>
    <w:rsid w:val="002A54A1"/>
    <w:rsid w:val="002B3E57"/>
    <w:rsid w:val="002B4358"/>
    <w:rsid w:val="002B4CA9"/>
    <w:rsid w:val="002B54DF"/>
    <w:rsid w:val="002C4130"/>
    <w:rsid w:val="002D4CC4"/>
    <w:rsid w:val="002E3BB9"/>
    <w:rsid w:val="00307511"/>
    <w:rsid w:val="00311BDC"/>
    <w:rsid w:val="00316FFC"/>
    <w:rsid w:val="00321646"/>
    <w:rsid w:val="00330DE5"/>
    <w:rsid w:val="00335128"/>
    <w:rsid w:val="00336EAF"/>
    <w:rsid w:val="00337965"/>
    <w:rsid w:val="0034379B"/>
    <w:rsid w:val="00356870"/>
    <w:rsid w:val="0037514B"/>
    <w:rsid w:val="0037615F"/>
    <w:rsid w:val="00397EC8"/>
    <w:rsid w:val="003A34CB"/>
    <w:rsid w:val="003A70AE"/>
    <w:rsid w:val="003B1B1C"/>
    <w:rsid w:val="003B745C"/>
    <w:rsid w:val="003D41BA"/>
    <w:rsid w:val="003E0049"/>
    <w:rsid w:val="003E00A3"/>
    <w:rsid w:val="003E4E9D"/>
    <w:rsid w:val="003F7596"/>
    <w:rsid w:val="00400566"/>
    <w:rsid w:val="004013FA"/>
    <w:rsid w:val="00421231"/>
    <w:rsid w:val="0042377F"/>
    <w:rsid w:val="00424808"/>
    <w:rsid w:val="00427A2B"/>
    <w:rsid w:val="004412F5"/>
    <w:rsid w:val="004452B6"/>
    <w:rsid w:val="004501A7"/>
    <w:rsid w:val="0045170D"/>
    <w:rsid w:val="00453971"/>
    <w:rsid w:val="004618BB"/>
    <w:rsid w:val="00461A7C"/>
    <w:rsid w:val="00463D75"/>
    <w:rsid w:val="004671F8"/>
    <w:rsid w:val="004745B1"/>
    <w:rsid w:val="00481FD8"/>
    <w:rsid w:val="004B2029"/>
    <w:rsid w:val="004B7EF7"/>
    <w:rsid w:val="004D0D76"/>
    <w:rsid w:val="004F201B"/>
    <w:rsid w:val="004F6330"/>
    <w:rsid w:val="00502676"/>
    <w:rsid w:val="00513516"/>
    <w:rsid w:val="00531692"/>
    <w:rsid w:val="00534552"/>
    <w:rsid w:val="005442C1"/>
    <w:rsid w:val="005443D4"/>
    <w:rsid w:val="00554D95"/>
    <w:rsid w:val="00557283"/>
    <w:rsid w:val="00571298"/>
    <w:rsid w:val="005875CA"/>
    <w:rsid w:val="00593387"/>
    <w:rsid w:val="005A1DB3"/>
    <w:rsid w:val="005A4C70"/>
    <w:rsid w:val="005B598E"/>
    <w:rsid w:val="005D17A3"/>
    <w:rsid w:val="005D481A"/>
    <w:rsid w:val="005E0445"/>
    <w:rsid w:val="005E23C6"/>
    <w:rsid w:val="005E7699"/>
    <w:rsid w:val="005F14EC"/>
    <w:rsid w:val="0061207C"/>
    <w:rsid w:val="0061345C"/>
    <w:rsid w:val="006149DC"/>
    <w:rsid w:val="006155AB"/>
    <w:rsid w:val="00620255"/>
    <w:rsid w:val="00624BDF"/>
    <w:rsid w:val="00624CDE"/>
    <w:rsid w:val="00626599"/>
    <w:rsid w:val="0063341B"/>
    <w:rsid w:val="006348F8"/>
    <w:rsid w:val="0063569E"/>
    <w:rsid w:val="00647BA4"/>
    <w:rsid w:val="00654CC5"/>
    <w:rsid w:val="0065788C"/>
    <w:rsid w:val="00660ED7"/>
    <w:rsid w:val="006618E9"/>
    <w:rsid w:val="00661994"/>
    <w:rsid w:val="00663D78"/>
    <w:rsid w:val="0066573A"/>
    <w:rsid w:val="0067010A"/>
    <w:rsid w:val="00674F49"/>
    <w:rsid w:val="00682CD5"/>
    <w:rsid w:val="006900F9"/>
    <w:rsid w:val="006A2A1E"/>
    <w:rsid w:val="006C3BE6"/>
    <w:rsid w:val="006C6BED"/>
    <w:rsid w:val="006C6F39"/>
    <w:rsid w:val="006C6F59"/>
    <w:rsid w:val="006D137E"/>
    <w:rsid w:val="006D612B"/>
    <w:rsid w:val="006D79B1"/>
    <w:rsid w:val="006E1F72"/>
    <w:rsid w:val="0070535F"/>
    <w:rsid w:val="0071555B"/>
    <w:rsid w:val="00754874"/>
    <w:rsid w:val="00761D21"/>
    <w:rsid w:val="00773F1E"/>
    <w:rsid w:val="00783CA1"/>
    <w:rsid w:val="0078598B"/>
    <w:rsid w:val="0079018B"/>
    <w:rsid w:val="007A2C05"/>
    <w:rsid w:val="007B0B68"/>
    <w:rsid w:val="007B6E14"/>
    <w:rsid w:val="007C4733"/>
    <w:rsid w:val="007D461F"/>
    <w:rsid w:val="007D6D47"/>
    <w:rsid w:val="007E1A2F"/>
    <w:rsid w:val="007E7828"/>
    <w:rsid w:val="007F572A"/>
    <w:rsid w:val="007F64F0"/>
    <w:rsid w:val="00801247"/>
    <w:rsid w:val="00831AE9"/>
    <w:rsid w:val="00832DAB"/>
    <w:rsid w:val="008476F4"/>
    <w:rsid w:val="00852C3B"/>
    <w:rsid w:val="00856814"/>
    <w:rsid w:val="00867005"/>
    <w:rsid w:val="00883DFF"/>
    <w:rsid w:val="00885BB0"/>
    <w:rsid w:val="00895393"/>
    <w:rsid w:val="008A3AC1"/>
    <w:rsid w:val="008A3D6A"/>
    <w:rsid w:val="008B33CE"/>
    <w:rsid w:val="008C1495"/>
    <w:rsid w:val="008C58A4"/>
    <w:rsid w:val="008C5BB2"/>
    <w:rsid w:val="008C6BDA"/>
    <w:rsid w:val="008D3D7C"/>
    <w:rsid w:val="008F28E4"/>
    <w:rsid w:val="008F3609"/>
    <w:rsid w:val="008F7532"/>
    <w:rsid w:val="00920585"/>
    <w:rsid w:val="0092466F"/>
    <w:rsid w:val="00931208"/>
    <w:rsid w:val="00933611"/>
    <w:rsid w:val="00947544"/>
    <w:rsid w:val="0095164F"/>
    <w:rsid w:val="0095335C"/>
    <w:rsid w:val="00960792"/>
    <w:rsid w:val="00977A9A"/>
    <w:rsid w:val="00981AB9"/>
    <w:rsid w:val="00986F2B"/>
    <w:rsid w:val="00991733"/>
    <w:rsid w:val="00994B7C"/>
    <w:rsid w:val="00995DBB"/>
    <w:rsid w:val="009B0CDD"/>
    <w:rsid w:val="009C0788"/>
    <w:rsid w:val="009C13FD"/>
    <w:rsid w:val="009C37A2"/>
    <w:rsid w:val="009E14D9"/>
    <w:rsid w:val="009E2739"/>
    <w:rsid w:val="009F0902"/>
    <w:rsid w:val="009F2DB2"/>
    <w:rsid w:val="009F52DA"/>
    <w:rsid w:val="00A21C2F"/>
    <w:rsid w:val="00A2428C"/>
    <w:rsid w:val="00A24976"/>
    <w:rsid w:val="00A404CF"/>
    <w:rsid w:val="00A415C5"/>
    <w:rsid w:val="00A43E85"/>
    <w:rsid w:val="00A46329"/>
    <w:rsid w:val="00A46614"/>
    <w:rsid w:val="00A57B4B"/>
    <w:rsid w:val="00A6604D"/>
    <w:rsid w:val="00A67375"/>
    <w:rsid w:val="00A759D8"/>
    <w:rsid w:val="00A8428A"/>
    <w:rsid w:val="00A8762D"/>
    <w:rsid w:val="00AA1EC8"/>
    <w:rsid w:val="00AA37CE"/>
    <w:rsid w:val="00AA6116"/>
    <w:rsid w:val="00AA779E"/>
    <w:rsid w:val="00AB1D4E"/>
    <w:rsid w:val="00AB6771"/>
    <w:rsid w:val="00AB7FD4"/>
    <w:rsid w:val="00AC1C17"/>
    <w:rsid w:val="00AC39C3"/>
    <w:rsid w:val="00AC4476"/>
    <w:rsid w:val="00AD2B50"/>
    <w:rsid w:val="00AD7EA5"/>
    <w:rsid w:val="00AE1488"/>
    <w:rsid w:val="00AE25BD"/>
    <w:rsid w:val="00AE3359"/>
    <w:rsid w:val="00AE56FC"/>
    <w:rsid w:val="00AE6011"/>
    <w:rsid w:val="00B106C8"/>
    <w:rsid w:val="00B4159B"/>
    <w:rsid w:val="00B46C58"/>
    <w:rsid w:val="00B55BDD"/>
    <w:rsid w:val="00B70C80"/>
    <w:rsid w:val="00B87F87"/>
    <w:rsid w:val="00B94558"/>
    <w:rsid w:val="00B95468"/>
    <w:rsid w:val="00BA22B7"/>
    <w:rsid w:val="00BA5D9C"/>
    <w:rsid w:val="00BA710B"/>
    <w:rsid w:val="00BB06AE"/>
    <w:rsid w:val="00BB080C"/>
    <w:rsid w:val="00BB2CA7"/>
    <w:rsid w:val="00BC780C"/>
    <w:rsid w:val="00BD3F80"/>
    <w:rsid w:val="00BE13EB"/>
    <w:rsid w:val="00BF4423"/>
    <w:rsid w:val="00C032F5"/>
    <w:rsid w:val="00C12FD6"/>
    <w:rsid w:val="00C146A4"/>
    <w:rsid w:val="00C400E7"/>
    <w:rsid w:val="00C4593E"/>
    <w:rsid w:val="00C5368A"/>
    <w:rsid w:val="00C53F06"/>
    <w:rsid w:val="00C55BEA"/>
    <w:rsid w:val="00C615C4"/>
    <w:rsid w:val="00C62BFC"/>
    <w:rsid w:val="00C64EBE"/>
    <w:rsid w:val="00C71B8F"/>
    <w:rsid w:val="00C81A77"/>
    <w:rsid w:val="00C93DBE"/>
    <w:rsid w:val="00C97C41"/>
    <w:rsid w:val="00CA2F50"/>
    <w:rsid w:val="00CB12B9"/>
    <w:rsid w:val="00CB55F1"/>
    <w:rsid w:val="00CC2F00"/>
    <w:rsid w:val="00CD5054"/>
    <w:rsid w:val="00CE25D0"/>
    <w:rsid w:val="00CE58B8"/>
    <w:rsid w:val="00CE73F7"/>
    <w:rsid w:val="00D04FFF"/>
    <w:rsid w:val="00D177B0"/>
    <w:rsid w:val="00D30804"/>
    <w:rsid w:val="00D324A5"/>
    <w:rsid w:val="00D3640F"/>
    <w:rsid w:val="00D40C63"/>
    <w:rsid w:val="00D42B4C"/>
    <w:rsid w:val="00D432C8"/>
    <w:rsid w:val="00D435B4"/>
    <w:rsid w:val="00D44F34"/>
    <w:rsid w:val="00D51612"/>
    <w:rsid w:val="00D53F45"/>
    <w:rsid w:val="00D55F5A"/>
    <w:rsid w:val="00D63563"/>
    <w:rsid w:val="00D64EFF"/>
    <w:rsid w:val="00D73E17"/>
    <w:rsid w:val="00D807E0"/>
    <w:rsid w:val="00DB569B"/>
    <w:rsid w:val="00DD57E1"/>
    <w:rsid w:val="00DE1084"/>
    <w:rsid w:val="00DE1EEC"/>
    <w:rsid w:val="00DE6449"/>
    <w:rsid w:val="00DE6687"/>
    <w:rsid w:val="00DE7770"/>
    <w:rsid w:val="00E002A5"/>
    <w:rsid w:val="00E129BD"/>
    <w:rsid w:val="00E158B2"/>
    <w:rsid w:val="00E215B6"/>
    <w:rsid w:val="00E25E2E"/>
    <w:rsid w:val="00E351CB"/>
    <w:rsid w:val="00E37A77"/>
    <w:rsid w:val="00E53860"/>
    <w:rsid w:val="00E57D5E"/>
    <w:rsid w:val="00E649EB"/>
    <w:rsid w:val="00E71C38"/>
    <w:rsid w:val="00E761F0"/>
    <w:rsid w:val="00E9454A"/>
    <w:rsid w:val="00EA0570"/>
    <w:rsid w:val="00EA5920"/>
    <w:rsid w:val="00EA594D"/>
    <w:rsid w:val="00EA7B22"/>
    <w:rsid w:val="00EC3C1E"/>
    <w:rsid w:val="00ED5B7F"/>
    <w:rsid w:val="00EE4443"/>
    <w:rsid w:val="00EF14CC"/>
    <w:rsid w:val="00EF4AEC"/>
    <w:rsid w:val="00EF7825"/>
    <w:rsid w:val="00F0671F"/>
    <w:rsid w:val="00F1470E"/>
    <w:rsid w:val="00F16C18"/>
    <w:rsid w:val="00F177AC"/>
    <w:rsid w:val="00F24F5B"/>
    <w:rsid w:val="00F26421"/>
    <w:rsid w:val="00F27FDA"/>
    <w:rsid w:val="00F318C0"/>
    <w:rsid w:val="00F35FBA"/>
    <w:rsid w:val="00F40159"/>
    <w:rsid w:val="00F50360"/>
    <w:rsid w:val="00F514BE"/>
    <w:rsid w:val="00F537DD"/>
    <w:rsid w:val="00F6027A"/>
    <w:rsid w:val="00F83023"/>
    <w:rsid w:val="00F856AA"/>
    <w:rsid w:val="00FA329D"/>
    <w:rsid w:val="00FB1D1F"/>
    <w:rsid w:val="00FB4961"/>
    <w:rsid w:val="00FB562F"/>
    <w:rsid w:val="00FC2D31"/>
    <w:rsid w:val="00FC42D8"/>
    <w:rsid w:val="00FC53FE"/>
    <w:rsid w:val="00FD2944"/>
    <w:rsid w:val="00FE300C"/>
    <w:rsid w:val="00FE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831AE9"/>
    <w:pPr>
      <w:tabs>
        <w:tab w:val="center" w:pos="4536"/>
        <w:tab w:val="right" w:pos="9072"/>
      </w:tabs>
    </w:pPr>
  </w:style>
  <w:style w:type="character" w:customStyle="1" w:styleId="HeaderChar">
    <w:name w:val="Header Char"/>
    <w:link w:val="Header"/>
    <w:uiPriority w:val="99"/>
    <w:rsid w:val="00831AE9"/>
    <w:rPr>
      <w:sz w:val="24"/>
      <w:szCs w:val="24"/>
      <w:lang w:eastAsia="bg-BG"/>
    </w:rPr>
  </w:style>
  <w:style w:type="paragraph" w:styleId="Footer">
    <w:name w:val="footer"/>
    <w:basedOn w:val="Normal"/>
    <w:link w:val="FooterChar"/>
    <w:uiPriority w:val="99"/>
    <w:rsid w:val="00831AE9"/>
    <w:pPr>
      <w:tabs>
        <w:tab w:val="center" w:pos="4536"/>
        <w:tab w:val="right" w:pos="9072"/>
      </w:tabs>
    </w:pPr>
  </w:style>
  <w:style w:type="character" w:customStyle="1" w:styleId="FooterChar">
    <w:name w:val="Footer Char"/>
    <w:link w:val="Footer"/>
    <w:uiPriority w:val="99"/>
    <w:rsid w:val="00831AE9"/>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831AE9"/>
    <w:pPr>
      <w:tabs>
        <w:tab w:val="center" w:pos="4536"/>
        <w:tab w:val="right" w:pos="9072"/>
      </w:tabs>
    </w:pPr>
  </w:style>
  <w:style w:type="character" w:customStyle="1" w:styleId="HeaderChar">
    <w:name w:val="Header Char"/>
    <w:link w:val="Header"/>
    <w:uiPriority w:val="99"/>
    <w:rsid w:val="00831AE9"/>
    <w:rPr>
      <w:sz w:val="24"/>
      <w:szCs w:val="24"/>
      <w:lang w:eastAsia="bg-BG"/>
    </w:rPr>
  </w:style>
  <w:style w:type="paragraph" w:styleId="Footer">
    <w:name w:val="footer"/>
    <w:basedOn w:val="Normal"/>
    <w:link w:val="FooterChar"/>
    <w:uiPriority w:val="99"/>
    <w:rsid w:val="00831AE9"/>
    <w:pPr>
      <w:tabs>
        <w:tab w:val="center" w:pos="4536"/>
        <w:tab w:val="right" w:pos="9072"/>
      </w:tabs>
    </w:pPr>
  </w:style>
  <w:style w:type="character" w:customStyle="1" w:styleId="FooterChar">
    <w:name w:val="Footer Char"/>
    <w:link w:val="Footer"/>
    <w:uiPriority w:val="99"/>
    <w:rsid w:val="00831AE9"/>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7006">
      <w:bodyDiv w:val="1"/>
      <w:marLeft w:val="0"/>
      <w:marRight w:val="0"/>
      <w:marTop w:val="0"/>
      <w:marBottom w:val="0"/>
      <w:divBdr>
        <w:top w:val="none" w:sz="0" w:space="0" w:color="auto"/>
        <w:left w:val="none" w:sz="0" w:space="0" w:color="auto"/>
        <w:bottom w:val="none" w:sz="0" w:space="0" w:color="auto"/>
        <w:right w:val="none" w:sz="0" w:space="0" w:color="auto"/>
      </w:divBdr>
    </w:div>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 w:id="2070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3733-F3E5-43EA-AAE9-04D194CC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2015-01-23T08:21:00Z</cp:lastPrinted>
  <dcterms:created xsi:type="dcterms:W3CDTF">2016-04-05T12:31:00Z</dcterms:created>
  <dcterms:modified xsi:type="dcterms:W3CDTF">2016-04-05T12:31:00Z</dcterms:modified>
</cp:coreProperties>
</file>